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93" w:afterLines="30" w:line="60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after="93" w:afterLines="30"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>
                <wp:simplePos x="0" y="0"/>
                <wp:positionH relativeFrom="margin">
                  <wp:posOffset>-118745</wp:posOffset>
                </wp:positionH>
                <wp:positionV relativeFrom="page">
                  <wp:posOffset>791845</wp:posOffset>
                </wp:positionV>
                <wp:extent cx="906145" cy="342900"/>
                <wp:effectExtent l="4445" t="4445" r="16510" b="825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9.35pt;margin-top:62.35pt;height:27pt;width:71.35pt;mso-position-horizontal-relative:margin;mso-position-vertical-relative:page;z-index:-251657216;mso-width-relative:page;mso-height-relative:page;" fillcolor="#FFFFFF" filled="t" stroked="t" coordsize="21600,21600" o:gfxdata="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nYnCfXAAAACwEAAA8AAAAAAAAAAQAgAAAAIgAAAGRycy9kb3du&#10;cmV2LnhtbFBLAQIUABQAAAAIAIdO4kC98+PKOQIAAHwEAAAOAAAAAAAAAAEAIAAAACYBAABkcnMv&#10;ZTJvRG9jLnhtbFBLBQYAAAAABgAGAFkBAADRBQAAAAA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方正小标宋简体" w:eastAsia="方正小标宋简体" w:cs="Times New Roman"/>
          <w:sz w:val="44"/>
          <w:szCs w:val="44"/>
        </w:rPr>
        <w:t>XX区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土特产品优化布局评价成果验收评分表</w:t>
      </w:r>
    </w:p>
    <w:tbl>
      <w:tblPr>
        <w:tblStyle w:val="3"/>
        <w:tblW w:w="569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19"/>
        <w:gridCol w:w="578"/>
        <w:gridCol w:w="3025"/>
        <w:gridCol w:w="3145"/>
        <w:gridCol w:w="533"/>
        <w:gridCol w:w="533"/>
        <w:gridCol w:w="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  <w:jc w:val="center"/>
        </w:trPr>
        <w:tc>
          <w:tcPr>
            <w:tcW w:w="27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类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项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adjustRightInd w:val="0"/>
              <w:snapToGrid w:val="0"/>
              <w:ind w:left="-82" w:leftChars="-39" w:right="-99" w:rightChars="-47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分值</w:t>
            </w:r>
          </w:p>
        </w:tc>
        <w:tc>
          <w:tcPr>
            <w:tcW w:w="155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验收内容</w:t>
            </w:r>
          </w:p>
        </w:tc>
        <w:tc>
          <w:tcPr>
            <w:tcW w:w="162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评分要点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ind w:left="-82" w:leftChars="-39" w:right="-99" w:rightChars="-47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得分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ind w:left="-82" w:leftChars="-39" w:right="-99" w:rightChars="-47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判定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adjustRightInd w:val="0"/>
              <w:snapToGrid w:val="0"/>
              <w:ind w:left="-82" w:leftChars="-39" w:right="-99" w:rightChars="-47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合分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27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42" w:leftChars="-20" w:right="-38" w:rightChars="-18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土特</w:t>
            </w:r>
          </w:p>
          <w:p>
            <w:pPr>
              <w:widowControl/>
              <w:adjustRightInd w:val="0"/>
              <w:snapToGrid w:val="0"/>
              <w:ind w:left="-42" w:leftChars="-20" w:right="-38" w:rightChars="-18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产品</w:t>
            </w:r>
          </w:p>
          <w:p>
            <w:pPr>
              <w:widowControl/>
              <w:adjustRightInd w:val="0"/>
              <w:snapToGrid w:val="0"/>
              <w:ind w:left="-42" w:leftChars="-20" w:right="-38" w:rightChars="-18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优化</w:t>
            </w:r>
          </w:p>
          <w:p>
            <w:pPr>
              <w:widowControl/>
              <w:adjustRightInd w:val="0"/>
              <w:snapToGrid w:val="0"/>
              <w:ind w:left="-42" w:leftChars="-20" w:right="-38" w:rightChars="-18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布局</w:t>
            </w:r>
          </w:p>
          <w:p>
            <w:pPr>
              <w:widowControl/>
              <w:adjustRightInd w:val="0"/>
              <w:snapToGrid w:val="0"/>
              <w:ind w:left="-42" w:leftChars="-20" w:right="-38" w:rightChars="-18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评价</w:t>
            </w:r>
          </w:p>
        </w:tc>
        <w:tc>
          <w:tcPr>
            <w:tcW w:w="422" w:type="pct"/>
            <w:vAlign w:val="center"/>
          </w:tcPr>
          <w:p>
            <w:pPr>
              <w:widowControl/>
              <w:adjustRightInd w:val="0"/>
              <w:snapToGrid w:val="0"/>
              <w:ind w:left="-42" w:leftChars="-20" w:right="-38" w:rightChars="-18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（1）</w:t>
            </w:r>
            <w:r>
              <w:rPr>
                <w:rFonts w:cs="Times New Roman" w:asciiTheme="minorEastAsia" w:hAnsiTheme="minorEastAsia"/>
                <w:szCs w:val="21"/>
              </w:rPr>
              <w:t>基础数据或图件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</w:t>
            </w:r>
          </w:p>
        </w:tc>
        <w:tc>
          <w:tcPr>
            <w:tcW w:w="1559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pacing w:val="-4"/>
                <w:szCs w:val="21"/>
              </w:rPr>
            </w:pPr>
            <w:r>
              <w:rPr>
                <w:rFonts w:cs="Times New Roman" w:asciiTheme="minorEastAsia" w:hAnsiTheme="minorEastAsia"/>
                <w:spacing w:val="-4"/>
                <w:szCs w:val="21"/>
              </w:rPr>
              <w:t>行政区划、土地利用现状、气候（年均降水量、积温等）、地形（坡度、海拔）、土壤（土壤类型、pH值、土层厚度、土壤质地、土壤侵蚀、盐碱化等）、水资源条件和灌排能力等评价使用的基础数据或图件资料。专家的土特产品品质与产量、优质高效生产的土壤气候条件等研究数据，以及相关国家级与地方标准中的品质、土壤、气候等主要评价指标数据。</w:t>
            </w:r>
          </w:p>
        </w:tc>
        <w:tc>
          <w:tcPr>
            <w:tcW w:w="1620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数据资料需附带相关的属性，说明数据精度及来源；图件资料需包括制图比例尺、图件坐标系等说明。根据内容的全面性、准确性、完整性酌情扣分。</w:t>
            </w:r>
            <w:r>
              <w:rPr>
                <w:rFonts w:hint="eastAsia" w:cs="Times New Roman" w:asciiTheme="minorEastAsia" w:hAnsiTheme="minorEastAsia"/>
                <w:szCs w:val="21"/>
              </w:rPr>
              <w:t>缺少1项扣1</w:t>
            </w:r>
            <w:r>
              <w:rPr>
                <w:rFonts w:cs="Times New Roman" w:asciiTheme="minorEastAsia" w:hAnsiTheme="minorEastAsia"/>
                <w:szCs w:val="21"/>
              </w:rPr>
              <w:t>-2</w:t>
            </w:r>
            <w:r>
              <w:rPr>
                <w:rFonts w:hint="eastAsia" w:cs="Times New Roman" w:asciiTheme="minorEastAsia" w:hAnsiTheme="minorEastAsia"/>
                <w:szCs w:val="21"/>
              </w:rPr>
              <w:t>分，</w:t>
            </w:r>
            <w:r>
              <w:rPr>
                <w:rFonts w:cs="Times New Roman" w:asciiTheme="minorEastAsia" w:hAnsiTheme="minorEastAsia"/>
                <w:szCs w:val="21"/>
              </w:rPr>
              <w:t>扣完为止</w:t>
            </w:r>
            <w:r>
              <w:rPr>
                <w:rFonts w:hint="eastAsia" w:cs="Times New Roman" w:asciiTheme="minorEastAsia" w:hAnsiTheme="minorEastAsia"/>
                <w:szCs w:val="21"/>
              </w:rPr>
              <w:t>。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　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　</w:t>
            </w:r>
          </w:p>
        </w:tc>
        <w:tc>
          <w:tcPr>
            <w:tcW w:w="27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82" w:leftChars="-39" w:right="-99" w:rightChars="-47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满分</w:t>
            </w:r>
          </w:p>
          <w:p>
            <w:pPr>
              <w:widowControl/>
              <w:adjustRightInd w:val="0"/>
              <w:snapToGrid w:val="0"/>
              <w:ind w:left="-82" w:leftChars="-39" w:right="-99" w:rightChars="-47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7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2" w:type="pct"/>
            <w:vAlign w:val="center"/>
          </w:tcPr>
          <w:p>
            <w:pPr>
              <w:widowControl/>
              <w:adjustRightInd w:val="0"/>
              <w:snapToGrid w:val="0"/>
              <w:ind w:left="-42" w:leftChars="-20" w:right="-38" w:rightChars="-18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（2）</w:t>
            </w:r>
            <w:r>
              <w:rPr>
                <w:rFonts w:cs="Times New Roman" w:asciiTheme="minorEastAsia" w:hAnsiTheme="minorEastAsia"/>
                <w:szCs w:val="21"/>
              </w:rPr>
              <w:t>评价单元数据和图件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10</w:t>
            </w:r>
          </w:p>
        </w:tc>
        <w:tc>
          <w:tcPr>
            <w:tcW w:w="1559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评价单元数据或图件资料（土壤图或土壤图与地形图等其他数据资料叠加形成的评价单元）。</w:t>
            </w:r>
          </w:p>
        </w:tc>
        <w:tc>
          <w:tcPr>
            <w:tcW w:w="1620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数据资料需附带相关的属性，说明数据精度及来源；图件资料需包括制图比例尺、图件坐标系等说明。根据内容的合理性、准确性、完整性酌情扣分。</w:t>
            </w:r>
            <w:r>
              <w:rPr>
                <w:rFonts w:hint="eastAsia" w:cs="Times New Roman" w:asciiTheme="minorEastAsia" w:hAnsiTheme="minorEastAsia"/>
                <w:szCs w:val="21"/>
              </w:rPr>
              <w:t>缺少1项扣</w:t>
            </w:r>
            <w:r>
              <w:rPr>
                <w:rFonts w:cs="Times New Roman" w:asciiTheme="minorEastAsia" w:hAnsiTheme="minorEastAsia"/>
                <w:szCs w:val="21"/>
              </w:rPr>
              <w:t>2-3</w:t>
            </w:r>
            <w:r>
              <w:rPr>
                <w:rFonts w:hint="eastAsia" w:cs="Times New Roman" w:asciiTheme="minorEastAsia" w:hAnsiTheme="minorEastAsia"/>
                <w:szCs w:val="21"/>
              </w:rPr>
              <w:t>分，</w:t>
            </w:r>
            <w:r>
              <w:rPr>
                <w:rFonts w:cs="Times New Roman" w:asciiTheme="minorEastAsia" w:hAnsiTheme="minorEastAsia"/>
                <w:szCs w:val="21"/>
              </w:rPr>
              <w:t>扣完为止</w:t>
            </w:r>
            <w:r>
              <w:rPr>
                <w:rFonts w:hint="eastAsia" w:cs="Times New Roman" w:asciiTheme="minorEastAsia" w:hAnsiTheme="minorEastAsia"/>
                <w:szCs w:val="21"/>
              </w:rPr>
              <w:t>。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　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　</w:t>
            </w:r>
          </w:p>
        </w:tc>
        <w:tc>
          <w:tcPr>
            <w:tcW w:w="273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7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2" w:type="pct"/>
            <w:vAlign w:val="center"/>
          </w:tcPr>
          <w:p>
            <w:pPr>
              <w:widowControl/>
              <w:adjustRightInd w:val="0"/>
              <w:snapToGrid w:val="0"/>
              <w:ind w:left="-42" w:leftChars="-20" w:right="-38" w:rightChars="-18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（3）</w:t>
            </w:r>
            <w:r>
              <w:rPr>
                <w:rFonts w:cs="Times New Roman" w:asciiTheme="minorEastAsia" w:hAnsiTheme="minorEastAsia"/>
                <w:szCs w:val="21"/>
              </w:rPr>
              <w:t>限制因素数据和图件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</w:t>
            </w:r>
          </w:p>
        </w:tc>
        <w:tc>
          <w:tcPr>
            <w:tcW w:w="1559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涵盖评价使用的所有限制因素等级分布的数据库或图件集。</w:t>
            </w:r>
          </w:p>
        </w:tc>
        <w:tc>
          <w:tcPr>
            <w:tcW w:w="1620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pacing w:val="-8"/>
                <w:szCs w:val="21"/>
              </w:rPr>
            </w:pPr>
            <w:r>
              <w:rPr>
                <w:rFonts w:cs="Times New Roman" w:asciiTheme="minorEastAsia" w:hAnsiTheme="minorEastAsia"/>
                <w:spacing w:val="-8"/>
                <w:szCs w:val="21"/>
              </w:rPr>
              <w:t>数据资料需附带相关的属性，分级情况；图件资料需包括制图比例尺、图件坐标系、分级图例等说明。根据内容合理性、准确性、完整性酌情扣分。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pacing w:val="-24"/>
                <w:szCs w:val="21"/>
              </w:rPr>
            </w:pPr>
            <w:r>
              <w:rPr>
                <w:rFonts w:cs="Times New Roman" w:asciiTheme="minorEastAsia" w:hAnsiTheme="minorEastAsia"/>
                <w:spacing w:val="-24"/>
                <w:szCs w:val="21"/>
              </w:rPr>
              <w:t>　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　</w:t>
            </w:r>
          </w:p>
        </w:tc>
        <w:tc>
          <w:tcPr>
            <w:tcW w:w="273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7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2" w:type="pct"/>
            <w:vAlign w:val="center"/>
          </w:tcPr>
          <w:p>
            <w:pPr>
              <w:widowControl/>
              <w:adjustRightInd w:val="0"/>
              <w:snapToGrid w:val="0"/>
              <w:ind w:left="-42" w:leftChars="-20" w:right="-38" w:rightChars="-18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（4）</w:t>
            </w:r>
            <w:r>
              <w:rPr>
                <w:rFonts w:cs="Times New Roman" w:asciiTheme="minorEastAsia" w:hAnsiTheme="minorEastAsia"/>
                <w:szCs w:val="21"/>
              </w:rPr>
              <w:t>适宜性评价结果数据库和图件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10</w:t>
            </w:r>
          </w:p>
        </w:tc>
        <w:tc>
          <w:tcPr>
            <w:tcW w:w="1559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土特产品土壤适宜性布局评价结果数据库及图件，包含适宜类、适宜程度等规范要求的内容。图件上包括适宜类与适宜程度面积表。</w:t>
            </w:r>
          </w:p>
        </w:tc>
        <w:tc>
          <w:tcPr>
            <w:tcW w:w="1620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pacing w:val="-6"/>
                <w:szCs w:val="21"/>
              </w:rPr>
            </w:pPr>
            <w:r>
              <w:rPr>
                <w:rFonts w:cs="Times New Roman" w:asciiTheme="minorEastAsia" w:hAnsiTheme="minorEastAsia"/>
                <w:spacing w:val="-6"/>
                <w:szCs w:val="21"/>
              </w:rPr>
              <w:t>数据库需附带相关属性，符合数据库规范要求；图件资料需包括制图比例尺、图件坐标系、分级图例等说明。根据内容合理性、准确性、完整性酌情扣分。</w:t>
            </w:r>
            <w:r>
              <w:rPr>
                <w:rFonts w:hint="eastAsia" w:cs="Times New Roman" w:asciiTheme="minorEastAsia" w:hAnsiTheme="minorEastAsia"/>
                <w:spacing w:val="-6"/>
                <w:szCs w:val="21"/>
              </w:rPr>
              <w:t>缺少1项扣</w:t>
            </w:r>
            <w:r>
              <w:rPr>
                <w:rFonts w:cs="Times New Roman" w:asciiTheme="minorEastAsia" w:hAnsiTheme="minorEastAsia"/>
                <w:spacing w:val="-6"/>
                <w:szCs w:val="21"/>
              </w:rPr>
              <w:t>2-3</w:t>
            </w:r>
            <w:r>
              <w:rPr>
                <w:rFonts w:hint="eastAsia" w:cs="Times New Roman" w:asciiTheme="minorEastAsia" w:hAnsiTheme="minorEastAsia"/>
                <w:spacing w:val="-6"/>
                <w:szCs w:val="21"/>
              </w:rPr>
              <w:t>分，</w:t>
            </w:r>
            <w:r>
              <w:rPr>
                <w:rFonts w:cs="Times New Roman" w:asciiTheme="minorEastAsia" w:hAnsiTheme="minorEastAsia"/>
                <w:spacing w:val="-6"/>
                <w:szCs w:val="21"/>
              </w:rPr>
              <w:t>扣完为止</w:t>
            </w:r>
            <w:r>
              <w:rPr>
                <w:rFonts w:hint="eastAsia" w:cs="Times New Roman" w:asciiTheme="minorEastAsia" w:hAnsiTheme="minorEastAsia"/>
                <w:spacing w:val="-6"/>
                <w:szCs w:val="21"/>
              </w:rPr>
              <w:t>。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7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2" w:type="pct"/>
            <w:vAlign w:val="center"/>
          </w:tcPr>
          <w:p>
            <w:pPr>
              <w:widowControl/>
              <w:adjustRightInd w:val="0"/>
              <w:snapToGrid w:val="0"/>
              <w:ind w:left="-42" w:leftChars="-20" w:right="-38" w:rightChars="-18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</w:t>
            </w:r>
            <w:r>
              <w:rPr>
                <w:rFonts w:cs="Times New Roman" w:asciiTheme="minorEastAsia" w:hAnsiTheme="minorEastAsia"/>
                <w:szCs w:val="21"/>
              </w:rPr>
              <w:t>5</w:t>
            </w:r>
            <w:r>
              <w:rPr>
                <w:rFonts w:hint="eastAsia" w:cs="Times New Roman" w:asciiTheme="minorEastAsia" w:hAnsiTheme="minorEastAsia"/>
                <w:szCs w:val="21"/>
              </w:rPr>
              <w:t>）</w:t>
            </w:r>
            <w:r>
              <w:rPr>
                <w:rFonts w:cs="Times New Roman" w:asciiTheme="minorEastAsia" w:hAnsiTheme="minorEastAsia"/>
                <w:szCs w:val="21"/>
              </w:rPr>
              <w:t>适宜性评价技术报告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40</w:t>
            </w:r>
          </w:p>
        </w:tc>
        <w:tc>
          <w:tcPr>
            <w:tcW w:w="1559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适宜性评价技术报告提纲要求的</w:t>
            </w:r>
            <w:r>
              <w:rPr>
                <w:rFonts w:hint="eastAsia" w:cs="Times New Roman" w:asciiTheme="minorEastAsia" w:hAnsiTheme="minorEastAsia"/>
                <w:szCs w:val="21"/>
              </w:rPr>
              <w:t>5个</w:t>
            </w:r>
            <w:r>
              <w:rPr>
                <w:rFonts w:cs="Times New Roman" w:asciiTheme="minorEastAsia" w:hAnsiTheme="minorEastAsia"/>
                <w:szCs w:val="21"/>
              </w:rPr>
              <w:t>内容。</w:t>
            </w:r>
          </w:p>
        </w:tc>
        <w:tc>
          <w:tcPr>
            <w:tcW w:w="1620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根据技术报告提纲5</w:t>
            </w:r>
            <w:r>
              <w:rPr>
                <w:rFonts w:hint="eastAsia" w:cs="Times New Roman" w:asciiTheme="minorEastAsia" w:hAnsiTheme="minorEastAsia"/>
                <w:szCs w:val="21"/>
              </w:rPr>
              <w:t>项</w:t>
            </w:r>
            <w:r>
              <w:rPr>
                <w:rFonts w:cs="Times New Roman" w:asciiTheme="minorEastAsia" w:hAnsiTheme="minorEastAsia"/>
                <w:szCs w:val="21"/>
              </w:rPr>
              <w:t>内容，</w:t>
            </w:r>
            <w:r>
              <w:rPr>
                <w:rFonts w:hint="eastAsia" w:cs="Times New Roman" w:asciiTheme="minorEastAsia" w:hAnsiTheme="minorEastAsia"/>
                <w:szCs w:val="21"/>
              </w:rPr>
              <w:t>其中第一章</w:t>
            </w:r>
            <w:r>
              <w:rPr>
                <w:rFonts w:cs="Times New Roman" w:asciiTheme="minorEastAsia" w:hAnsiTheme="minorEastAsia"/>
                <w:szCs w:val="21"/>
              </w:rPr>
              <w:t>前言5分，第二章区域概况及土特产品生产情况5分，第三章区域土特产适宜条件分析11分，第四章土特产品优化布局评价与分区11分，第五章产业发展建议8分</w:t>
            </w:r>
            <w:r>
              <w:rPr>
                <w:rFonts w:hint="eastAsia" w:cs="Times New Roman" w:asciiTheme="minorEastAsia" w:hAnsiTheme="minorEastAsia"/>
                <w:szCs w:val="21"/>
              </w:rPr>
              <w:t>。根据</w:t>
            </w:r>
            <w:r>
              <w:rPr>
                <w:rFonts w:cs="Times New Roman" w:asciiTheme="minorEastAsia" w:hAnsiTheme="minorEastAsia"/>
                <w:szCs w:val="21"/>
              </w:rPr>
              <w:t>报告规范性、完整性和科学性酌情扣分</w:t>
            </w:r>
            <w:r>
              <w:rPr>
                <w:rFonts w:hint="eastAsia" w:cs="Times New Roman" w:asciiTheme="minorEastAsia" w:hAnsiTheme="minorEastAsia"/>
                <w:szCs w:val="21"/>
              </w:rPr>
              <w:t>，扣完为止</w:t>
            </w:r>
            <w:r>
              <w:rPr>
                <w:rFonts w:cs="Times New Roman" w:asciiTheme="minorEastAsia" w:hAnsiTheme="minorEastAsia"/>
                <w:szCs w:val="21"/>
              </w:rPr>
              <w:t>。</w:t>
            </w: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5" w:type="pct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spacing w:before="78" w:beforeLines="25"/>
        <w:ind w:left="-1" w:leftChars="-67" w:hanging="140" w:hangingChars="62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宋体"/>
          <w:color w:val="333333"/>
          <w:spacing w:val="8"/>
          <w:kern w:val="0"/>
          <w:szCs w:val="21"/>
        </w:rPr>
        <w:t>注</w:t>
      </w:r>
      <w:r>
        <w:rPr>
          <w:rFonts w:ascii="黑体" w:hAnsi="黑体" w:eastAsia="黑体" w:cs="宋体"/>
          <w:color w:val="333333"/>
          <w:spacing w:val="8"/>
          <w:kern w:val="0"/>
          <w:szCs w:val="21"/>
        </w:rPr>
        <w:t>：</w:t>
      </w:r>
      <w:r>
        <w:rPr>
          <w:rFonts w:hint="eastAsia" w:ascii="黑体" w:hAnsi="黑体" w:eastAsia="黑体" w:cs="宋体"/>
          <w:color w:val="333333"/>
          <w:spacing w:val="8"/>
          <w:kern w:val="0"/>
          <w:szCs w:val="21"/>
        </w:rPr>
        <w:t>成果验收</w:t>
      </w:r>
      <w:r>
        <w:rPr>
          <w:rFonts w:ascii="黑体" w:hAnsi="黑体" w:eastAsia="黑体" w:cs="宋体"/>
          <w:color w:val="333333"/>
          <w:spacing w:val="8"/>
          <w:kern w:val="0"/>
          <w:szCs w:val="21"/>
        </w:rPr>
        <w:t>满分</w:t>
      </w:r>
      <w:r>
        <w:rPr>
          <w:rFonts w:hint="eastAsia" w:ascii="黑体" w:hAnsi="黑体" w:eastAsia="黑体" w:cs="宋体"/>
          <w:color w:val="333333"/>
          <w:spacing w:val="8"/>
          <w:kern w:val="0"/>
          <w:szCs w:val="21"/>
        </w:rPr>
        <w:t>为</w:t>
      </w:r>
      <w:r>
        <w:rPr>
          <w:rFonts w:ascii="黑体" w:hAnsi="黑体" w:eastAsia="黑体" w:cs="Times New Roman"/>
          <w:szCs w:val="21"/>
        </w:rPr>
        <w:t>100分，低于70分，则成果</w:t>
      </w:r>
      <w:r>
        <w:rPr>
          <w:rFonts w:hint="eastAsia" w:ascii="黑体" w:hAnsi="黑体" w:eastAsia="黑体" w:cs="Times New Roman"/>
          <w:szCs w:val="21"/>
        </w:rPr>
        <w:t>判定</w:t>
      </w:r>
      <w:r>
        <w:rPr>
          <w:rFonts w:ascii="黑体" w:hAnsi="黑体" w:eastAsia="黑体" w:cs="Times New Roman"/>
          <w:szCs w:val="21"/>
        </w:rPr>
        <w:t>为不合格。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4EB96728"/>
    <w:rsid w:val="4EB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2023-09-15T02:55:00Z</dcterms:created>
  <dc:creator>友情提醒</dc:creator>
  <cp:lastModifiedBy>友情提醒</cp:lastModifiedBy>
  <dcterms:modified xsi:type="dcterms:W3CDTF">2023-09-15T02:56:03Z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A97DD4CA2F3F4576B29B0792A223F4A0_11</vt:lpwstr>
  </property>
</Properties>
</file>