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1" locked="1" layoutInCell="1" allowOverlap="1">
                <wp:simplePos x="0" y="0"/>
                <wp:positionH relativeFrom="margin">
                  <wp:posOffset>-73660</wp:posOffset>
                </wp:positionH>
                <wp:positionV relativeFrom="page">
                  <wp:posOffset>845820</wp:posOffset>
                </wp:positionV>
                <wp:extent cx="906145" cy="342900"/>
                <wp:effectExtent l="4445" t="4445" r="16510" b="825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5.8pt;margin-top:66.6pt;height:27pt;width:71.35pt;mso-position-horizontal-relative:margin;mso-position-vertical-relative:page;z-index:-251657216;mso-width-relative:page;mso-height-relative:page;" fillcolor="#FFFFFF" filled="t" stroked="t" coordsize="21600,21600" o:gfxdata="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JX/IfdgAAAALAQAADwAAAAAAAAABACAAAAAiAAAAZHJzL2Rvd25y&#10;ZXYueG1sUEsBAhQAFAAAAAgAh07iQIPj2J83AgAAegQAAA4AAAAAAAAAAQAgAAAAJwEAAGRycy9l&#10;Mm9Eb2MueG1sUEsFBgAAAAAGAAYAWQEAANAFAAAAAA==&#10;">
                <v:fill on="t" focussize="0,0"/>
                <v:stroke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报告提</w:t>
      </w:r>
      <w:bookmarkStart w:id="1" w:name="_GoBack"/>
      <w:bookmarkEnd w:id="1"/>
      <w:r>
        <w:rPr>
          <w:rFonts w:hint="eastAsia" w:ascii="方正小标宋简体" w:hAnsi="Times New Roman" w:eastAsia="方正小标宋简体" w:cs="Times New Roman"/>
          <w:sz w:val="44"/>
          <w:szCs w:val="44"/>
        </w:rPr>
        <w:t>纲</w:t>
      </w:r>
    </w:p>
    <w:p>
      <w:pPr>
        <w:adjustRightInd w:val="0"/>
        <w:snapToGrid w:val="0"/>
        <w:spacing w:line="560" w:lineRule="exact"/>
        <w:ind w:firstLine="616" w:firstLineChars="200"/>
        <w:rPr>
          <w:rFonts w:ascii="楷体_GB2312" w:hAnsi="Times New Roman" w:eastAsia="楷体_GB2312" w:cs="Times New Roman"/>
          <w:bCs/>
          <w:spacing w:val="-6"/>
          <w:sz w:val="32"/>
          <w:szCs w:val="32"/>
        </w:rPr>
      </w:pPr>
      <w:r>
        <w:rPr>
          <w:rFonts w:hint="eastAsia" w:ascii="楷体_GB2312" w:hAnsi="Times New Roman" w:eastAsia="楷体_GB2312" w:cs="Times New Roman"/>
          <w:spacing w:val="-6"/>
          <w:sz w:val="32"/>
          <w:szCs w:val="32"/>
        </w:rPr>
        <w:t>土特产品优化布局评价的文字成果即技术报告，是对土特产品优化布局评价的技术流程和方法的总结，重点梳理评价的指标确定、指标隶属度、适宜性评价分区和产业发展建议等方面的内容。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bookmarkStart w:id="0" w:name="_Hlk140150952"/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第一章</w:t>
      </w:r>
      <w:r>
        <w:rPr>
          <w:rFonts w:hint="eastAsia"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ascii="Times New Roman" w:hAnsi="Times New Roman" w:eastAsia="黑体" w:cs="Times New Roman"/>
          <w:sz w:val="32"/>
          <w:szCs w:val="32"/>
        </w:rPr>
        <w:t>前言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一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、任务来源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二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、数据与评价方法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sz w:val="32"/>
          <w:szCs w:val="32"/>
        </w:rPr>
        <w:t>基础数据。含土壤三普的调查与测试数据；相关土特产品省级/国家级产业专家的研究数据，如土特产品品质与产量、优质高效生产的土壤气候条件等多年研究数据；相关国家级与地方标准中的土特产品品质、土壤、气候条件等数据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sz w:val="32"/>
          <w:szCs w:val="32"/>
        </w:rPr>
        <w:t>图件资料。如土壤图、土地利用现状图、地质图、数字高程模型（DEM）、遥感影像等。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</w:t>
      </w:r>
      <w:r>
        <w:rPr>
          <w:rFonts w:ascii="Times New Roman" w:hAnsi="Times New Roman" w:eastAsia="仿宋_GB2312" w:cs="Times New Roman"/>
          <w:sz w:val="32"/>
          <w:szCs w:val="32"/>
        </w:rPr>
        <w:t>土壤适宜性评价方法。如特征元素法、专家经验法或统计分析法等，其中影响土特产品品质与产量的主控指标，专家经验建议指标为主、层次分析法等统计分析方法为辅。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</w:t>
      </w:r>
      <w:r>
        <w:rPr>
          <w:rFonts w:ascii="Times New Roman" w:hAnsi="Times New Roman" w:eastAsia="仿宋_GB2312" w:cs="Times New Roman"/>
          <w:sz w:val="32"/>
          <w:szCs w:val="32"/>
        </w:rPr>
        <w:t>土壤适宜性制图方法。包含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土壤、</w:t>
      </w:r>
      <w:r>
        <w:rPr>
          <w:rFonts w:ascii="Times New Roman" w:hAnsi="Times New Roman" w:eastAsia="仿宋_GB2312" w:cs="Times New Roman"/>
          <w:sz w:val="32"/>
          <w:szCs w:val="32"/>
        </w:rPr>
        <w:t>气候、地形地貌等指标图层制作，以及土壤适宜性制图的评价模型方法。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三、工作计划与进度等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sz w:val="32"/>
          <w:szCs w:val="32"/>
        </w:rPr>
        <w:t>二</w:t>
      </w:r>
      <w:r>
        <w:rPr>
          <w:rFonts w:ascii="Times New Roman" w:hAnsi="Times New Roman" w:eastAsia="黑体" w:cs="Times New Roman"/>
          <w:sz w:val="32"/>
          <w:szCs w:val="32"/>
        </w:rPr>
        <w:t>章</w:t>
      </w:r>
      <w:r>
        <w:rPr>
          <w:rFonts w:hint="eastAsia"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ascii="Times New Roman" w:hAnsi="Times New Roman" w:eastAsia="黑体" w:cs="Times New Roman"/>
          <w:sz w:val="32"/>
          <w:szCs w:val="32"/>
        </w:rPr>
        <w:t>区域概况及土特产品生产情况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帽段：简述全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区</w:t>
      </w:r>
      <w:r>
        <w:rPr>
          <w:rFonts w:ascii="Times New Roman" w:hAnsi="Times New Roman" w:eastAsia="仿宋_GB2312" w:cs="Times New Roman"/>
          <w:sz w:val="32"/>
          <w:szCs w:val="32"/>
        </w:rPr>
        <w:t>的主要农产品种植历史与生产现状，并介绍土特产品生产现状与产业规划。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一、区域概况。土特产品生产以及土壤、气候、地质、地形地貌等；土特产品的生产与市场情况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，包括</w:t>
      </w:r>
      <w:r>
        <w:rPr>
          <w:rFonts w:ascii="Times New Roman" w:hAnsi="Times New Roman" w:eastAsia="仿宋_GB2312" w:cs="Times New Roman"/>
          <w:sz w:val="32"/>
          <w:szCs w:val="32"/>
        </w:rPr>
        <w:t>种植历史、区域与面积、品质与产量、市场状况与存在问题等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二、**土特产品简介。概述土特产品的品质特点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与生长条件</w:t>
      </w:r>
      <w:r>
        <w:rPr>
          <w:rFonts w:ascii="Times New Roman" w:hAnsi="Times New Roman" w:eastAsia="仿宋_GB2312" w:cs="Times New Roman"/>
          <w:sz w:val="32"/>
          <w:szCs w:val="32"/>
        </w:rPr>
        <w:t>，中药材的功效指标等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sz w:val="32"/>
          <w:szCs w:val="32"/>
        </w:rPr>
        <w:t>三</w:t>
      </w:r>
      <w:r>
        <w:rPr>
          <w:rFonts w:ascii="Times New Roman" w:hAnsi="Times New Roman" w:eastAsia="黑体" w:cs="Times New Roman"/>
          <w:sz w:val="32"/>
          <w:szCs w:val="32"/>
        </w:rPr>
        <w:t>章</w:t>
      </w:r>
      <w:r>
        <w:rPr>
          <w:rFonts w:hint="eastAsia"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ascii="Times New Roman" w:hAnsi="Times New Roman" w:eastAsia="黑体" w:cs="Times New Roman"/>
          <w:sz w:val="32"/>
          <w:szCs w:val="32"/>
        </w:rPr>
        <w:t>区域土特产适宜条件</w:t>
      </w:r>
      <w:r>
        <w:rPr>
          <w:rFonts w:hint="eastAsia" w:ascii="Times New Roman" w:hAnsi="Times New Roman" w:eastAsia="黑体" w:cs="Times New Roman"/>
          <w:sz w:val="32"/>
          <w:szCs w:val="32"/>
        </w:rPr>
        <w:t>分析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一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适宜气候条件</w:t>
      </w:r>
      <w:r>
        <w:rPr>
          <w:rFonts w:ascii="Times New Roman" w:hAnsi="Times New Roman" w:eastAsia="仿宋_GB2312" w:cs="Times New Roman"/>
          <w:sz w:val="32"/>
          <w:szCs w:val="32"/>
        </w:rPr>
        <w:t>。包括光照、积温、水分；关键生育期的降水、小气候、干燥度、昼夜温差等（尽量用定量化指标数据，实在没有定量数据时进行指标定性描述）。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二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适宜土壤条件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重点</w:t>
      </w:r>
      <w:r>
        <w:rPr>
          <w:rFonts w:ascii="Times New Roman" w:hAnsi="Times New Roman" w:eastAsia="仿宋_GB2312" w:cs="Times New Roman"/>
          <w:sz w:val="32"/>
          <w:szCs w:val="32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适宜土特产优质高效生产的</w:t>
      </w:r>
      <w:r>
        <w:rPr>
          <w:rFonts w:ascii="Times New Roman" w:hAnsi="Times New Roman" w:eastAsia="仿宋_GB2312" w:cs="Times New Roman"/>
          <w:sz w:val="32"/>
          <w:szCs w:val="32"/>
        </w:rPr>
        <w:t>土壤类型、质地构型（排水性与持水性）、土层厚度、pH、盐碱度、有机质、特征中微量元素--地质调查与背景元素调查等、阳离子交换量等土壤指标。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适宜地形地貌与成土母质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</w:t>
      </w:r>
      <w:r>
        <w:rPr>
          <w:rFonts w:ascii="Times New Roman" w:hAnsi="Times New Roman" w:eastAsia="仿宋_GB2312" w:cs="Times New Roman"/>
          <w:sz w:val="32"/>
          <w:szCs w:val="32"/>
        </w:rPr>
        <w:t>条件（含坡向、坡度等）。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四、</w:t>
      </w:r>
      <w:r>
        <w:rPr>
          <w:rFonts w:ascii="Times New Roman" w:hAnsi="Times New Roman" w:eastAsia="仿宋_GB2312" w:cs="Times New Roman"/>
          <w:sz w:val="32"/>
          <w:szCs w:val="32"/>
        </w:rPr>
        <w:t>土特产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品质与</w:t>
      </w:r>
      <w:r>
        <w:rPr>
          <w:rFonts w:ascii="Times New Roman" w:hAnsi="Times New Roman" w:eastAsia="仿宋_GB2312" w:cs="Times New Roman"/>
          <w:sz w:val="32"/>
          <w:szCs w:val="32"/>
        </w:rPr>
        <w:t>环境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因子</w:t>
      </w:r>
      <w:r>
        <w:rPr>
          <w:rFonts w:ascii="Times New Roman" w:hAnsi="Times New Roman" w:eastAsia="仿宋_GB2312" w:cs="Times New Roman"/>
          <w:sz w:val="32"/>
          <w:szCs w:val="32"/>
        </w:rPr>
        <w:t>的关系分析：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分析土</w:t>
      </w:r>
      <w:r>
        <w:rPr>
          <w:rFonts w:ascii="Times New Roman" w:hAnsi="Times New Roman" w:eastAsia="仿宋_GB2312" w:cs="Times New Roman"/>
          <w:sz w:val="32"/>
          <w:szCs w:val="32"/>
        </w:rPr>
        <w:t>特产的品质指标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与土壤</w:t>
      </w:r>
      <w:r>
        <w:rPr>
          <w:rFonts w:ascii="Times New Roman" w:hAnsi="Times New Roman" w:eastAsia="仿宋_GB2312" w:cs="Times New Roman"/>
          <w:sz w:val="32"/>
          <w:szCs w:val="32"/>
        </w:rPr>
        <w:t>有益微量元素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地形地貌、气候、土壤类型及成土母质等条件相关分析研究，确定影响土特产品质主要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评价因子。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sz w:val="32"/>
          <w:szCs w:val="32"/>
        </w:rPr>
        <w:t>四</w:t>
      </w:r>
      <w:r>
        <w:rPr>
          <w:rFonts w:ascii="Times New Roman" w:hAnsi="Times New Roman" w:eastAsia="黑体" w:cs="Times New Roman"/>
          <w:sz w:val="32"/>
          <w:szCs w:val="32"/>
        </w:rPr>
        <w:t>章</w:t>
      </w:r>
      <w:r>
        <w:rPr>
          <w:rFonts w:hint="eastAsia"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ascii="Times New Roman" w:hAnsi="Times New Roman" w:eastAsia="黑体" w:cs="Times New Roman"/>
          <w:sz w:val="32"/>
          <w:szCs w:val="32"/>
        </w:rPr>
        <w:t>土特产品优化布局评价与分区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一、区域土壤特征。结合三普土壤调查与测试结果，总结分析区域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现有与土特产适宜性相关的调查结果与</w:t>
      </w:r>
      <w:r>
        <w:rPr>
          <w:rFonts w:ascii="Times New Roman" w:hAnsi="Times New Roman" w:eastAsia="仿宋_GB2312" w:cs="Times New Roman"/>
          <w:sz w:val="32"/>
          <w:szCs w:val="32"/>
        </w:rPr>
        <w:t>土壤物理、化学或生物属性特征。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二、评价最小指标集。结合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区</w:t>
      </w:r>
      <w:r>
        <w:rPr>
          <w:rFonts w:ascii="Times New Roman" w:hAnsi="Times New Roman" w:eastAsia="仿宋_GB2312" w:cs="Times New Roman"/>
          <w:sz w:val="32"/>
          <w:szCs w:val="32"/>
        </w:rPr>
        <w:t>级产品最适区的土壤与气候条件特征指标，以及省级/国家级产业专家等研究成果，给出适宜性评价的最小评价指标集（含适宜条件指标与限制因子指标）及各指标的分级标准。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三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区</w:t>
      </w:r>
      <w:r>
        <w:rPr>
          <w:rFonts w:ascii="Times New Roman" w:hAnsi="Times New Roman" w:eastAsia="仿宋_GB2312" w:cs="Times New Roman"/>
          <w:sz w:val="32"/>
          <w:szCs w:val="32"/>
        </w:rPr>
        <w:t>级土壤适宜性评价。利用本区的土壤、气候、地形地貌等资源条件，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结合土特产品的评价指标与评价方法，</w:t>
      </w:r>
      <w:r>
        <w:rPr>
          <w:rFonts w:ascii="Times New Roman" w:hAnsi="Times New Roman" w:eastAsia="仿宋_GB2312" w:cs="Times New Roman"/>
          <w:sz w:val="32"/>
          <w:szCs w:val="32"/>
        </w:rPr>
        <w:t>给出区级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土特农产品种植对应的宜耕、宜园、宜林、宜草区域的</w:t>
      </w:r>
      <w:r>
        <w:rPr>
          <w:rFonts w:ascii="Times New Roman" w:hAnsi="Times New Roman" w:eastAsia="仿宋_GB2312" w:cs="Times New Roman"/>
          <w:sz w:val="32"/>
          <w:szCs w:val="32"/>
        </w:rPr>
        <w:t>土壤适宜性等级面积及其分布特征。土特产品土壤适宜性等级可划分为3级，如优势区等级（</w:t>
      </w:r>
      <w:r>
        <w:rPr>
          <w:rFonts w:hint="eastAsia" w:ascii="宋体" w:hAnsi="宋体" w:eastAsia="宋体" w:cs="宋体"/>
          <w:sz w:val="32"/>
          <w:szCs w:val="32"/>
        </w:rPr>
        <w:t>≧</w:t>
      </w:r>
      <w:r>
        <w:rPr>
          <w:rFonts w:ascii="Times New Roman" w:hAnsi="Times New Roman" w:eastAsia="仿宋_GB2312" w:cs="Times New Roman"/>
          <w:sz w:val="32"/>
          <w:szCs w:val="32"/>
        </w:rPr>
        <w:t>90%）、适宜区等级（70%-90%）、不适宜区等级（</w:t>
      </w:r>
      <w:r>
        <w:rPr>
          <w:rFonts w:hint="eastAsia" w:ascii="宋体" w:hAnsi="宋体" w:eastAsia="宋体" w:cs="宋体"/>
          <w:sz w:val="32"/>
          <w:szCs w:val="32"/>
        </w:rPr>
        <w:t>≦</w:t>
      </w:r>
      <w:r>
        <w:rPr>
          <w:rFonts w:ascii="Times New Roman" w:hAnsi="Times New Roman" w:eastAsia="仿宋_GB2312" w:cs="Times New Roman"/>
          <w:sz w:val="32"/>
          <w:szCs w:val="32"/>
        </w:rPr>
        <w:t>70%）；土特产品优势区与适宜区布局图上，只标注出优势区（图示浅绿色RGB 192,255,62）与适宜区（图示浅黄色RGB 255,246,143）。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sz w:val="32"/>
          <w:szCs w:val="32"/>
        </w:rPr>
        <w:t>五</w:t>
      </w:r>
      <w:r>
        <w:rPr>
          <w:rFonts w:ascii="Times New Roman" w:hAnsi="Times New Roman" w:eastAsia="黑体" w:cs="Times New Roman"/>
          <w:sz w:val="32"/>
          <w:szCs w:val="32"/>
        </w:rPr>
        <w:t>章</w:t>
      </w:r>
      <w:r>
        <w:rPr>
          <w:rFonts w:hint="eastAsia"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ascii="Times New Roman" w:hAnsi="Times New Roman" w:eastAsia="黑体" w:cs="Times New Roman"/>
          <w:sz w:val="32"/>
          <w:szCs w:val="32"/>
        </w:rPr>
        <w:t>产业发展建议</w:t>
      </w:r>
    </w:p>
    <w:bookmarkEnd w:id="0"/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土特产品的产业发展特征与优势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一、优势区的保护利用。结合土特产品产地土壤质量变化趋势，给出优势区域布局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</w:t>
      </w:r>
      <w:r>
        <w:rPr>
          <w:rFonts w:ascii="Times New Roman" w:hAnsi="Times New Roman" w:eastAsia="仿宋_GB2312" w:cs="Times New Roman"/>
          <w:sz w:val="32"/>
          <w:szCs w:val="32"/>
        </w:rPr>
        <w:t>土壤保护利用的技术对策与建议。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二、适宜（规划）区发展建议。包括土特产品适宜（含规划）区的土壤问题与培肥改良建议；改善田间基础设施如道路交通、人力资源、机械化条件等。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参考文献</w:t>
      </w:r>
    </w:p>
    <w:p>
      <w:pPr>
        <w:keepNext/>
        <w:keepLines/>
        <w:adjustRightInd w:val="0"/>
        <w:snapToGrid w:val="0"/>
        <w:spacing w:before="120" w:after="120" w:line="600" w:lineRule="exact"/>
        <w:jc w:val="center"/>
        <w:outlineLvl w:val="0"/>
        <w:rPr>
          <w:rFonts w:ascii="Times New Roman" w:hAnsi="Times New Roman" w:eastAsia="仿宋_GB2312" w:cs="Times New Roman"/>
          <w:bCs/>
          <w:kern w:val="44"/>
          <w:sz w:val="32"/>
          <w:szCs w:val="32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89610104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</w:rPr>
          <w:t>- 11 -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YmI0NzFiOTllNTNhYjQzN2RiNmRkODVlNjNiM2QifQ=="/>
  </w:docVars>
  <w:rsids>
    <w:rsidRoot w:val="6BEB5713"/>
    <w:rsid w:val="6BEB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2023-09-15T02:54:00Z</dcterms:created>
  <dc:creator>友情提醒</dc:creator>
  <cp:lastModifiedBy>友情提醒</cp:lastModifiedBy>
  <dcterms:modified xsi:type="dcterms:W3CDTF">2023-09-15T02:54:47Z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2E5AEA3F6F0C42E3A1740FBF22BEC35E_11</vt:lpwstr>
  </property>
</Properties>
</file>