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352C59">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方正黑体_GBK" w:cs="Times New Roman"/>
          <w:b w:val="0"/>
          <w:bCs w:val="0"/>
          <w:color w:val="auto"/>
          <w:sz w:val="32"/>
          <w:szCs w:val="32"/>
          <w:highlight w:val="none"/>
          <w:lang w:val="en-US" w:eastAsia="zh-CN"/>
        </w:rPr>
      </w:pPr>
      <w:r>
        <w:rPr>
          <w:rFonts w:hint="default" w:ascii="Times New Roman" w:hAnsi="Times New Roman" w:eastAsia="方正黑体_GBK" w:cs="Times New Roman"/>
          <w:b w:val="0"/>
          <w:bCs w:val="0"/>
          <w:color w:val="auto"/>
          <w:sz w:val="32"/>
          <w:szCs w:val="32"/>
          <w:highlight w:val="none"/>
          <w:lang w:val="en-US" w:eastAsia="zh-CN"/>
        </w:rPr>
        <w:t>附件1</w:t>
      </w:r>
    </w:p>
    <w:p w14:paraId="2221010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b w:val="0"/>
          <w:bCs w:val="0"/>
          <w:color w:val="auto"/>
          <w:sz w:val="44"/>
          <w:szCs w:val="44"/>
          <w:highlight w:val="none"/>
          <w:lang w:val="en-US" w:eastAsia="zh-CN"/>
        </w:rPr>
      </w:pPr>
    </w:p>
    <w:p w14:paraId="40D3EF35">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b w:val="0"/>
          <w:bCs w:val="0"/>
          <w:color w:val="auto"/>
          <w:sz w:val="32"/>
          <w:szCs w:val="32"/>
          <w:highlight w:val="none"/>
        </w:rPr>
      </w:pPr>
      <w:r>
        <w:rPr>
          <w:rFonts w:hint="eastAsia" w:ascii="方正小标宋_GBK" w:hAnsi="方正小标宋_GBK" w:eastAsia="方正小标宋_GBK" w:cs="方正小标宋_GBK"/>
          <w:b w:val="0"/>
          <w:bCs w:val="0"/>
          <w:color w:val="auto"/>
          <w:sz w:val="44"/>
          <w:szCs w:val="44"/>
          <w:highlight w:val="none"/>
          <w:lang w:val="en-US" w:eastAsia="zh-CN"/>
        </w:rPr>
        <w:t>2027年乡村振兴农业科技项目申报指南</w:t>
      </w:r>
    </w:p>
    <w:p w14:paraId="5BE41BC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hAnsi="仿宋_GB2312" w:eastAsia="仿宋_GB2312" w:cs="仿宋_GB2312"/>
          <w:b w:val="0"/>
          <w:bCs w:val="0"/>
          <w:color w:val="auto"/>
          <w:sz w:val="32"/>
          <w:szCs w:val="32"/>
          <w:highlight w:val="none"/>
        </w:rPr>
      </w:pPr>
    </w:p>
    <w:p w14:paraId="02F339D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仿宋_GB2312" w:hAnsi="仿宋_GB2312" w:eastAsia="仿宋_GB2312" w:cs="仿宋_GB2312"/>
          <w:b w:val="0"/>
          <w:bCs w:val="0"/>
          <w:color w:val="auto"/>
          <w:sz w:val="32"/>
          <w:szCs w:val="32"/>
          <w:highlight w:val="none"/>
          <w:lang w:val="en-US" w:eastAsia="zh-CN"/>
        </w:rPr>
      </w:pPr>
      <w:r>
        <w:rPr>
          <w:rStyle w:val="6"/>
          <w:rFonts w:hint="eastAsia" w:ascii="仿宋_GB2312" w:hAnsi="华文中宋" w:eastAsia="仿宋_GB2312"/>
          <w:b w:val="0"/>
          <w:bCs w:val="0"/>
          <w:color w:val="auto"/>
          <w:sz w:val="32"/>
          <w:szCs w:val="32"/>
          <w:highlight w:val="none"/>
          <w:lang w:val="en-US" w:eastAsia="zh-CN"/>
        </w:rPr>
        <w:t>为服务国家农业科技高水平自立自强和解决京郊产业发展实际问题，根据《北京市“十五五”时期推进农业农村现代化规划》和《北京市乡村振兴</w:t>
      </w:r>
      <w:bookmarkStart w:id="0" w:name="_GoBack"/>
      <w:bookmarkEnd w:id="0"/>
      <w:r>
        <w:rPr>
          <w:rStyle w:val="6"/>
          <w:rFonts w:hint="eastAsia" w:ascii="仿宋_GB2312" w:hAnsi="华文中宋" w:eastAsia="仿宋_GB2312"/>
          <w:b w:val="0"/>
          <w:bCs w:val="0"/>
          <w:color w:val="auto"/>
          <w:sz w:val="32"/>
          <w:szCs w:val="32"/>
          <w:highlight w:val="none"/>
          <w:lang w:val="en-US" w:eastAsia="zh-CN"/>
        </w:rPr>
        <w:t>农业科技项目及资金管理办法》等有关要求，针对技术攻关类</w:t>
      </w:r>
      <w:r>
        <w:rPr>
          <w:rStyle w:val="6"/>
          <w:rFonts w:hint="eastAsia" w:ascii="仿宋_GB2312" w:hAnsi="华文中宋" w:eastAsia="仿宋_GB2312"/>
          <w:b w:val="0"/>
          <w:bCs w:val="0"/>
          <w:color w:val="auto"/>
          <w:sz w:val="32"/>
          <w:szCs w:val="32"/>
          <w:highlight w:val="none"/>
          <w:lang w:val="en-US" w:eastAsia="zh"/>
        </w:rPr>
        <w:t>和</w:t>
      </w:r>
      <w:r>
        <w:rPr>
          <w:rStyle w:val="6"/>
          <w:rFonts w:hint="eastAsia" w:ascii="仿宋_GB2312" w:hAnsi="华文中宋" w:eastAsia="仿宋_GB2312"/>
          <w:b w:val="0"/>
          <w:bCs w:val="0"/>
          <w:color w:val="auto"/>
          <w:sz w:val="32"/>
          <w:szCs w:val="32"/>
          <w:highlight w:val="none"/>
          <w:lang w:val="en-US" w:eastAsia="zh-CN"/>
        </w:rPr>
        <w:t>试验示范类项目，发布2027年北京市乡村振兴农业科技项目</w:t>
      </w:r>
      <w:r>
        <w:rPr>
          <w:rFonts w:hint="eastAsia" w:ascii="仿宋_GB2312" w:hAnsi="Calibri" w:eastAsia="仿宋_GB2312" w:cs="Times New Roman"/>
          <w:color w:val="auto"/>
          <w:kern w:val="2"/>
          <w:sz w:val="32"/>
          <w:szCs w:val="32"/>
          <w:highlight w:val="none"/>
          <w:lang w:val="en-US" w:eastAsia="zh" w:bidi="ar-SA"/>
        </w:rPr>
        <w:t>4</w:t>
      </w:r>
      <w:r>
        <w:rPr>
          <w:rFonts w:hint="eastAsia" w:ascii="仿宋_GB2312" w:hAnsi="Calibri" w:eastAsia="仿宋_GB2312" w:cs="Times New Roman"/>
          <w:color w:val="auto"/>
          <w:kern w:val="2"/>
          <w:sz w:val="32"/>
          <w:szCs w:val="32"/>
          <w:highlight w:val="none"/>
          <w:lang w:val="en-US" w:eastAsia="zh-CN" w:bidi="ar-SA"/>
        </w:rPr>
        <w:t>8个指南方向。</w:t>
      </w:r>
    </w:p>
    <w:p w14:paraId="06875D3E">
      <w:pPr>
        <w:pStyle w:val="3"/>
        <w:keepNext w:val="0"/>
        <w:keepLines w:val="0"/>
        <w:pageBreakBefore w:val="0"/>
        <w:numPr>
          <w:ilvl w:val="0"/>
          <w:numId w:val="1"/>
        </w:numPr>
        <w:kinsoku/>
        <w:wordWrap/>
        <w:overflowPunct/>
        <w:topLinePunct w:val="0"/>
        <w:autoSpaceDE/>
        <w:autoSpaceDN/>
        <w:bidi w:val="0"/>
        <w:adjustRightInd w:val="0"/>
        <w:snapToGrid w:val="0"/>
        <w:spacing w:after="0" w:afterLines="0" w:line="560" w:lineRule="exact"/>
        <w:ind w:left="0" w:leftChars="0" w:firstLine="640" w:firstLineChars="200"/>
        <w:jc w:val="both"/>
        <w:textAlignment w:val="auto"/>
        <w:rPr>
          <w:rFonts w:hint="eastAsia" w:ascii="黑体" w:hAnsi="黑体" w:eastAsia="黑体" w:cs="黑体"/>
          <w:b w:val="0"/>
          <w:bCs w:val="0"/>
          <w:i w:val="0"/>
          <w:caps w:val="0"/>
          <w:color w:val="auto"/>
          <w:spacing w:val="0"/>
          <w:kern w:val="2"/>
          <w:sz w:val="32"/>
          <w:szCs w:val="32"/>
          <w:highlight w:val="none"/>
          <w:shd w:val="clear" w:color="auto" w:fill="FFFFFF"/>
          <w:lang w:val="en-US" w:eastAsia="zh-CN" w:bidi="ar-SA"/>
        </w:rPr>
      </w:pPr>
      <w:r>
        <w:rPr>
          <w:rFonts w:hint="eastAsia" w:ascii="黑体" w:hAnsi="黑体" w:eastAsia="黑体" w:cs="黑体"/>
          <w:b w:val="0"/>
          <w:bCs w:val="0"/>
          <w:i w:val="0"/>
          <w:caps w:val="0"/>
          <w:color w:val="auto"/>
          <w:spacing w:val="0"/>
          <w:kern w:val="2"/>
          <w:sz w:val="32"/>
          <w:szCs w:val="32"/>
          <w:highlight w:val="none"/>
          <w:shd w:val="clear" w:color="auto" w:fill="FFFFFF"/>
          <w:lang w:val="en-US" w:eastAsia="zh-CN" w:bidi="ar-SA"/>
        </w:rPr>
        <w:t>技术攻关类</w:t>
      </w:r>
    </w:p>
    <w:p w14:paraId="1F3C87E6">
      <w:pPr>
        <w:pStyle w:val="3"/>
        <w:keepNext w:val="0"/>
        <w:keepLines w:val="0"/>
        <w:pageBreakBefore w:val="0"/>
        <w:numPr>
          <w:ilvl w:val="0"/>
          <w:numId w:val="2"/>
        </w:numPr>
        <w:kinsoku/>
        <w:wordWrap/>
        <w:overflowPunct/>
        <w:topLinePunct w:val="0"/>
        <w:autoSpaceDE/>
        <w:autoSpaceDN/>
        <w:bidi w:val="0"/>
        <w:adjustRightInd w:val="0"/>
        <w:snapToGrid w:val="0"/>
        <w:spacing w:after="0" w:afterLines="0" w:line="560" w:lineRule="exact"/>
        <w:ind w:left="0" w:leftChars="0" w:firstLine="640" w:firstLineChars="200"/>
        <w:jc w:val="both"/>
        <w:textAlignment w:val="auto"/>
        <w:rPr>
          <w:rFonts w:hint="eastAsia" w:ascii="楷体_GB2312" w:hAnsi="楷体_GB2312" w:eastAsia="楷体_GB2312" w:cs="楷体_GB2312"/>
          <w:b w:val="0"/>
          <w:bCs w:val="0"/>
          <w:i w:val="0"/>
          <w:caps w:val="0"/>
          <w:color w:val="auto"/>
          <w:spacing w:val="0"/>
          <w:kern w:val="2"/>
          <w:sz w:val="32"/>
          <w:szCs w:val="32"/>
          <w:highlight w:val="none"/>
          <w:shd w:val="clear" w:color="auto" w:fill="FFFFFF"/>
          <w:lang w:val="en-US" w:eastAsia="zh-CN" w:bidi="ar-SA"/>
        </w:rPr>
      </w:pPr>
      <w:r>
        <w:rPr>
          <w:rFonts w:hint="eastAsia" w:ascii="楷体_GB2312" w:hAnsi="楷体_GB2312" w:eastAsia="楷体_GB2312" w:cs="楷体_GB2312"/>
          <w:b w:val="0"/>
          <w:bCs w:val="0"/>
          <w:i w:val="0"/>
          <w:caps w:val="0"/>
          <w:color w:val="auto"/>
          <w:spacing w:val="0"/>
          <w:kern w:val="2"/>
          <w:sz w:val="32"/>
          <w:szCs w:val="32"/>
          <w:highlight w:val="none"/>
          <w:shd w:val="clear" w:color="auto" w:fill="FFFFFF"/>
          <w:lang w:val="en-US" w:eastAsia="zh-CN" w:bidi="ar-SA"/>
        </w:rPr>
        <w:t>生物育种（</w:t>
      </w:r>
      <w:r>
        <w:rPr>
          <w:rFonts w:hint="eastAsia" w:ascii="楷体_GB2312" w:hAnsi="楷体_GB2312" w:eastAsia="楷体_GB2312" w:cs="楷体_GB2312"/>
          <w:b w:val="0"/>
          <w:bCs w:val="0"/>
          <w:i w:val="0"/>
          <w:caps w:val="0"/>
          <w:color w:val="auto"/>
          <w:spacing w:val="0"/>
          <w:kern w:val="2"/>
          <w:sz w:val="32"/>
          <w:szCs w:val="32"/>
          <w:highlight w:val="none"/>
          <w:shd w:val="clear" w:color="auto" w:fill="FFFFFF"/>
          <w:lang w:val="en-US" w:eastAsia="zh" w:bidi="ar-SA"/>
        </w:rPr>
        <w:t>5</w:t>
      </w:r>
      <w:r>
        <w:rPr>
          <w:rFonts w:hint="eastAsia" w:ascii="楷体_GB2312" w:hAnsi="楷体_GB2312" w:eastAsia="楷体_GB2312" w:cs="楷体_GB2312"/>
          <w:b w:val="0"/>
          <w:bCs w:val="0"/>
          <w:i w:val="0"/>
          <w:caps w:val="0"/>
          <w:color w:val="auto"/>
          <w:spacing w:val="0"/>
          <w:kern w:val="2"/>
          <w:sz w:val="32"/>
          <w:szCs w:val="32"/>
          <w:highlight w:val="none"/>
          <w:shd w:val="clear" w:color="auto" w:fill="FFFFFF"/>
          <w:lang w:val="en-US" w:eastAsia="zh-CN" w:bidi="ar-SA"/>
        </w:rPr>
        <w:t>项）</w:t>
      </w:r>
    </w:p>
    <w:p w14:paraId="246300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
        </w:rPr>
        <w:t>1</w:t>
      </w:r>
      <w:r>
        <w:rPr>
          <w:rFonts w:hint="eastAsia" w:ascii="仿宋_GB2312" w:hAnsi="仿宋_GB2312" w:eastAsia="仿宋_GB2312" w:cs="仿宋_GB2312"/>
          <w:b w:val="0"/>
          <w:bCs w:val="0"/>
          <w:color w:val="auto"/>
          <w:sz w:val="32"/>
          <w:szCs w:val="32"/>
          <w:lang w:val="en-US" w:eastAsia="zh-CN"/>
        </w:rPr>
        <w:t xml:space="preserve">.针对京津冀地区玉米生产面临的高温干旱、阴雨寡照等极端天气频发和多重逆境叠加的生产态势，围绕当前玉米优异抗逆种质匮乏、气候适应性机理不清、多性状聚合精准度不足、智能育种体系不完善等产业技术瓶颈，开展“关键韧性基因挖掘、多基因性状聚合、AI智能筛选、多环境检验及应用”等技术研究，构建覆盖基因挖掘到品种创制的全流程技术体系，培育突破性气候韧性玉米新品种，实现顺境高产、逆境稳产。                                   </w:t>
      </w:r>
    </w:p>
    <w:p w14:paraId="0FBE3D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
        </w:rPr>
        <w:t>2.</w:t>
      </w:r>
      <w:r>
        <w:rPr>
          <w:rFonts w:hint="eastAsia" w:ascii="仿宋_GB2312" w:hAnsi="仿宋_GB2312" w:eastAsia="仿宋_GB2312" w:cs="仿宋_GB2312"/>
          <w:b w:val="0"/>
          <w:bCs w:val="0"/>
          <w:color w:val="auto"/>
          <w:sz w:val="32"/>
          <w:szCs w:val="32"/>
          <w:lang w:val="en-US" w:eastAsia="zh-CN"/>
        </w:rPr>
        <w:t>针对京津冀地区突破性优质强筋小麦品种短缺、高端烘焙专用面粉供应需求结构性矛盾突出等问题，开展强筋小麦品质关键基因解析和高产优质协同改良育种技术集成，培育突破性烘焙专用小麦新品种，构建烘培专用小麦品种从“分子设计—品质精准评价—标准化栽培—订单供应”的全链条产业技术体系，提升京津冀强筋小麦的烘焙品质和生产效益。</w:t>
      </w:r>
    </w:p>
    <w:p w14:paraId="3FF7F4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yellow"/>
          <w:lang w:val="en-US" w:eastAsia="zh-CN"/>
        </w:rPr>
      </w:pPr>
      <w:r>
        <w:rPr>
          <w:rFonts w:hint="eastAsia" w:ascii="仿宋_GB2312" w:hAnsi="仿宋_GB2312" w:eastAsia="仿宋_GB2312" w:cs="仿宋_GB2312"/>
          <w:b w:val="0"/>
          <w:bCs w:val="0"/>
          <w:color w:val="auto"/>
          <w:sz w:val="32"/>
          <w:szCs w:val="32"/>
          <w:lang w:val="en-US" w:eastAsia="zh"/>
        </w:rPr>
        <w:t>3.</w:t>
      </w:r>
      <w:r>
        <w:rPr>
          <w:rFonts w:hint="eastAsia" w:ascii="仿宋_GB2312" w:hAnsi="仿宋_GB2312" w:eastAsia="仿宋_GB2312" w:cs="仿宋_GB2312"/>
          <w:b w:val="0"/>
          <w:bCs w:val="0"/>
          <w:color w:val="auto"/>
          <w:sz w:val="32"/>
          <w:szCs w:val="32"/>
          <w:lang w:val="en-US" w:eastAsia="zh-CN"/>
        </w:rPr>
        <w:t>针对菠菜产业中存在的抗霜霉病和耐抽薹种质资源及优良雌性系匮乏、抗病优质性状难以协同聚合等问题，开展相关功能基因挖掘，实现抗病、耐抽薹与优良品质性状的高效协同改良，创制抗霜霉病、耐抽薹、优质高产新种质，选育综合性状突出的新品种，提升我市菠菜种业自主创新能力。</w:t>
      </w:r>
      <w:r>
        <w:rPr>
          <w:rFonts w:hint="eastAsia" w:ascii="仿宋_GB2312" w:hAnsi="Calibri" w:eastAsia="仿宋_GB2312" w:cs="仿宋_GB2312"/>
          <w:b w:val="0"/>
          <w:bCs w:val="0"/>
          <w:color w:val="auto"/>
          <w:kern w:val="2"/>
          <w:sz w:val="32"/>
          <w:szCs w:val="32"/>
          <w:lang w:val="en-US" w:eastAsia="zh-CN" w:bidi="ar"/>
        </w:rPr>
        <w:t xml:space="preserve"> </w:t>
      </w:r>
    </w:p>
    <w:p w14:paraId="44A8F1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
        </w:rPr>
        <w:t>4.</w:t>
      </w:r>
      <w:r>
        <w:rPr>
          <w:rFonts w:hint="eastAsia" w:ascii="仿宋_GB2312" w:hAnsi="仿宋_GB2312" w:eastAsia="仿宋_GB2312" w:cs="仿宋_GB2312"/>
          <w:b w:val="0"/>
          <w:bCs w:val="0"/>
          <w:color w:val="auto"/>
          <w:sz w:val="32"/>
          <w:szCs w:val="32"/>
          <w:lang w:val="en-US" w:eastAsia="zh-CN"/>
        </w:rPr>
        <w:t xml:space="preserve">聚焦北京鸭育种过程中肉品质性状自动化测定技术缺乏、烤制性能遗传基础研究较弱等问题，建立活体表型性状精准测定技术，开展北京鸭脂肪沉积与分布遗传机制研究，构建脂肪性状基因组选择技术体系，提高肉品质性状选择准确度，持续选育优质北京鸭新品系，提升烤鸭品质与市场占有率。                                </w:t>
      </w:r>
    </w:p>
    <w:p w14:paraId="1C42F2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
        </w:rPr>
        <w:t>5</w:t>
      </w:r>
      <w:r>
        <w:rPr>
          <w:rFonts w:hint="eastAsia" w:ascii="仿宋_GB2312" w:hAnsi="仿宋_GB2312" w:eastAsia="仿宋_GB2312" w:cs="仿宋_GB2312"/>
          <w:b w:val="0"/>
          <w:bCs w:val="0"/>
          <w:color w:val="auto"/>
          <w:sz w:val="32"/>
          <w:szCs w:val="32"/>
          <w:lang w:val="en-US" w:eastAsia="zh-CN"/>
        </w:rPr>
        <w:t>.针对蛋鸡产业自主高产特色蛋鸡品种供给不足，特色蛋鸡基因组选择技术尚未系统应用等突出问题，聚焦特色蛋鸡种质资源，开展常规和分子育种关键技术研究，选育高产特色蛋鸡新品种（系），提升特色蛋鸡自主育种创新能力，助推北京特色蛋鸡产业多元化发展。</w:t>
      </w:r>
    </w:p>
    <w:p w14:paraId="307FCC38">
      <w:pPr>
        <w:pStyle w:val="3"/>
        <w:keepNext w:val="0"/>
        <w:keepLines w:val="0"/>
        <w:pageBreakBefore w:val="0"/>
        <w:numPr>
          <w:ilvl w:val="0"/>
          <w:numId w:val="0"/>
        </w:numPr>
        <w:kinsoku/>
        <w:wordWrap/>
        <w:overflowPunct/>
        <w:topLinePunct w:val="0"/>
        <w:autoSpaceDE/>
        <w:autoSpaceDN/>
        <w:bidi w:val="0"/>
        <w:adjustRightInd w:val="0"/>
        <w:snapToGrid w:val="0"/>
        <w:spacing w:after="0" w:afterLines="0" w:line="560" w:lineRule="exact"/>
        <w:ind w:leftChars="200"/>
        <w:jc w:val="both"/>
        <w:textAlignment w:val="auto"/>
        <w:rPr>
          <w:rFonts w:hint="default"/>
          <w:color w:val="auto"/>
          <w:lang w:val="en-US" w:eastAsia="zh-CN"/>
        </w:rPr>
      </w:pPr>
      <w:r>
        <w:rPr>
          <w:rFonts w:hint="eastAsia" w:ascii="楷体_GB2312" w:hAnsi="楷体_GB2312" w:eastAsia="楷体_GB2312" w:cs="楷体_GB2312"/>
          <w:b w:val="0"/>
          <w:bCs w:val="0"/>
          <w:i w:val="0"/>
          <w:caps w:val="0"/>
          <w:color w:val="auto"/>
          <w:spacing w:val="0"/>
          <w:kern w:val="2"/>
          <w:sz w:val="32"/>
          <w:szCs w:val="32"/>
          <w:highlight w:val="none"/>
          <w:shd w:val="clear" w:color="auto" w:fill="FFFFFF"/>
          <w:lang w:val="en-US" w:eastAsia="zh-CN" w:bidi="ar-SA"/>
        </w:rPr>
        <w:t>（二）生物制造（4项）</w:t>
      </w:r>
    </w:p>
    <w:p w14:paraId="549745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default" w:ascii="仿宋_GB2312" w:hAnsi="仿宋_GB2312" w:eastAsia="仿宋_GB2312" w:cs="仿宋_GB2312"/>
          <w:b w:val="0"/>
          <w:bCs w:val="0"/>
          <w:color w:val="auto"/>
          <w:sz w:val="32"/>
          <w:szCs w:val="32"/>
          <w:lang w:val="en" w:eastAsia="zh-CN"/>
        </w:rPr>
        <w:t>6</w:t>
      </w:r>
      <w:r>
        <w:rPr>
          <w:rFonts w:hint="eastAsia" w:ascii="仿宋_GB2312" w:hAnsi="仿宋_GB2312" w:eastAsia="仿宋_GB2312" w:cs="仿宋_GB2312"/>
          <w:b w:val="0"/>
          <w:bCs w:val="0"/>
          <w:color w:val="auto"/>
          <w:sz w:val="32"/>
          <w:szCs w:val="32"/>
          <w:lang w:val="en-US" w:eastAsia="zh-CN"/>
        </w:rPr>
        <w:t>.针对豆粕减量替代亟需的短板氨基酸被“卡脖子”、含硫氨基酸依赖化学生产且污染大的问题，创制具有自主知识产权的芳香族和支链氨基酸发酵菌种，开发含硫氨基酸前体发酵和全细胞催化耦合技术，发酵产量和转化率达到工业应用水平；建立利用氨基酸发酵废液废渣的天然酵母蛋白生产技术，生产成本低于豆粕；集成优化绿色发酵生产工艺，开展吨级中试放大和百吨级生产示范，形成低成本豆粕减量替代饲料配方及产品，并在北京家禽养殖业示范应用。</w:t>
      </w:r>
    </w:p>
    <w:p w14:paraId="189687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default" w:ascii="仿宋_GB2312" w:hAnsi="仿宋_GB2312" w:eastAsia="仿宋_GB2312" w:cs="仿宋_GB2312"/>
          <w:b w:val="0"/>
          <w:bCs w:val="0"/>
          <w:color w:val="auto"/>
          <w:sz w:val="32"/>
          <w:szCs w:val="32"/>
          <w:lang w:val="en" w:eastAsia="zh-CN"/>
        </w:rPr>
        <w:t>7</w:t>
      </w:r>
      <w:r>
        <w:rPr>
          <w:rFonts w:hint="eastAsia" w:ascii="仿宋_GB2312" w:hAnsi="仿宋_GB2312" w:eastAsia="仿宋_GB2312" w:cs="仿宋_GB2312"/>
          <w:b w:val="0"/>
          <w:bCs w:val="0"/>
          <w:color w:val="auto"/>
          <w:sz w:val="32"/>
          <w:szCs w:val="32"/>
          <w:lang w:val="en-US" w:eastAsia="zh-CN"/>
        </w:rPr>
        <w:t>.针对农业微生物功能代谢产物发现效率低、靶向鉴定难及生物功能关联解析不足等问题，以具有促生抑病等功能的农用微生物菌株为对象，开展人工智能（AI）驱动的植物刺激素、动物免疫调节肽、黄酮类等功能代谢产物靶向鉴定与功能关联解析、结构与活性智能预测、分子设计与表达，构建功能代谢产物智能预测模型及数据库，获得一批具有源头创新性和自主知识产权的关键功能代谢产物，支撑北京农业绿色投入品生物制造产业发展。</w:t>
      </w:r>
    </w:p>
    <w:p w14:paraId="376CDD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default" w:ascii="仿宋_GB2312" w:hAnsi="仿宋_GB2312" w:eastAsia="仿宋_GB2312" w:cs="仿宋_GB2312"/>
          <w:b w:val="0"/>
          <w:bCs w:val="0"/>
          <w:color w:val="auto"/>
          <w:sz w:val="32"/>
          <w:szCs w:val="32"/>
          <w:lang w:val="en" w:eastAsia="zh-CN"/>
        </w:rPr>
        <w:t>8</w:t>
      </w:r>
      <w:r>
        <w:rPr>
          <w:rFonts w:hint="eastAsia" w:ascii="仿宋_GB2312" w:hAnsi="仿宋_GB2312" w:eastAsia="仿宋_GB2312" w:cs="仿宋_GB2312"/>
          <w:b w:val="0"/>
          <w:bCs w:val="0"/>
          <w:color w:val="auto"/>
          <w:sz w:val="32"/>
          <w:szCs w:val="32"/>
          <w:lang w:val="en-US" w:eastAsia="zh-CN"/>
        </w:rPr>
        <w:t>.针对京津冀家禽养殖业肠道健康问题突出、减抗技术手段不足这一关键问题，系统分离筛选靶向沙门氏菌、产气荚膜梭菌等重要肠道病原菌的广谱烈性噬菌体；挖掘噬菌体裂解酶、受体结合蛋白等关键功能元件，开发基于噬菌体“鸡尾酒”和关键功能元件的精准抗菌制剂；创制适用于典型养殖模式的噬菌体高效减抗产品/组合，为京津冀家禽健康养殖产业发展提供技术支撑。</w:t>
      </w:r>
    </w:p>
    <w:p w14:paraId="4090E3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default" w:ascii="仿宋_GB2312" w:hAnsi="仿宋_GB2312" w:eastAsia="仿宋_GB2312" w:cs="仿宋_GB2312"/>
          <w:color w:val="auto"/>
          <w:sz w:val="32"/>
          <w:szCs w:val="32"/>
          <w:lang w:val="en" w:eastAsia="zh-CN"/>
        </w:rPr>
        <w:t>9</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针对仔猪传染性病毒性腹泻（PEDV等）持续变异、单一病原免疫保护力不足、感染后群体死亡率高等行业痛点问题，综合运用预防治疗策略，研发具有自主知识产权的新型、安全有效的生物制剂（如新型抗体等动物蛋白制品），实现有效阻断病毒、缩短病程、显著降低群体死亡率的目标。</w:t>
      </w:r>
    </w:p>
    <w:p w14:paraId="508A561B">
      <w:pPr>
        <w:pStyle w:val="3"/>
        <w:keepNext w:val="0"/>
        <w:keepLines w:val="0"/>
        <w:pageBreakBefore w:val="0"/>
        <w:numPr>
          <w:ilvl w:val="0"/>
          <w:numId w:val="0"/>
        </w:numPr>
        <w:kinsoku/>
        <w:wordWrap/>
        <w:overflowPunct/>
        <w:topLinePunct w:val="0"/>
        <w:autoSpaceDE/>
        <w:autoSpaceDN/>
        <w:bidi w:val="0"/>
        <w:adjustRightInd w:val="0"/>
        <w:snapToGrid w:val="0"/>
        <w:spacing w:after="0" w:afterLines="0" w:line="560" w:lineRule="exact"/>
        <w:ind w:firstLine="640" w:firstLineChars="200"/>
        <w:jc w:val="both"/>
        <w:textAlignment w:val="auto"/>
        <w:rPr>
          <w:rFonts w:hint="eastAsia" w:ascii="楷体_GB2312" w:hAnsi="楷体_GB2312" w:eastAsia="楷体_GB2312" w:cs="楷体_GB2312"/>
          <w:b w:val="0"/>
          <w:bCs w:val="0"/>
          <w:i w:val="0"/>
          <w:caps w:val="0"/>
          <w:color w:val="auto"/>
          <w:spacing w:val="0"/>
          <w:kern w:val="2"/>
          <w:sz w:val="32"/>
          <w:szCs w:val="32"/>
          <w:highlight w:val="none"/>
          <w:shd w:val="clear" w:color="auto" w:fill="FFFFFF"/>
          <w:lang w:val="en-US" w:eastAsia="zh-CN" w:bidi="ar-SA"/>
        </w:rPr>
      </w:pPr>
      <w:r>
        <w:rPr>
          <w:rFonts w:hint="eastAsia" w:ascii="楷体_GB2312" w:hAnsi="楷体_GB2312" w:eastAsia="楷体_GB2312" w:cs="楷体_GB2312"/>
          <w:b w:val="0"/>
          <w:bCs w:val="0"/>
          <w:i w:val="0"/>
          <w:caps w:val="0"/>
          <w:color w:val="auto"/>
          <w:spacing w:val="0"/>
          <w:kern w:val="2"/>
          <w:sz w:val="32"/>
          <w:szCs w:val="32"/>
          <w:highlight w:val="none"/>
          <w:shd w:val="clear" w:color="auto" w:fill="FFFFFF"/>
          <w:lang w:val="en-US" w:eastAsia="zh-CN" w:bidi="ar-SA"/>
        </w:rPr>
        <w:t>（三）智慧农业（</w:t>
      </w:r>
      <w:r>
        <w:rPr>
          <w:rFonts w:hint="eastAsia" w:ascii="楷体_GB2312" w:hAnsi="楷体_GB2312" w:eastAsia="楷体_GB2312" w:cs="楷体_GB2312"/>
          <w:b w:val="0"/>
          <w:bCs w:val="0"/>
          <w:i w:val="0"/>
          <w:caps w:val="0"/>
          <w:color w:val="auto"/>
          <w:spacing w:val="0"/>
          <w:kern w:val="2"/>
          <w:sz w:val="32"/>
          <w:szCs w:val="32"/>
          <w:highlight w:val="none"/>
          <w:shd w:val="clear" w:color="auto" w:fill="FFFFFF"/>
          <w:lang w:val="en-US" w:eastAsia="zh" w:bidi="ar-SA"/>
        </w:rPr>
        <w:t>3</w:t>
      </w:r>
      <w:r>
        <w:rPr>
          <w:rFonts w:hint="eastAsia" w:ascii="楷体_GB2312" w:hAnsi="楷体_GB2312" w:eastAsia="楷体_GB2312" w:cs="楷体_GB2312"/>
          <w:b w:val="0"/>
          <w:bCs w:val="0"/>
          <w:i w:val="0"/>
          <w:caps w:val="0"/>
          <w:color w:val="auto"/>
          <w:spacing w:val="0"/>
          <w:kern w:val="2"/>
          <w:sz w:val="32"/>
          <w:szCs w:val="32"/>
          <w:highlight w:val="none"/>
          <w:shd w:val="clear" w:color="auto" w:fill="FFFFFF"/>
          <w:lang w:val="en-US" w:eastAsia="zh-CN" w:bidi="ar-SA"/>
        </w:rPr>
        <w:t>项）</w:t>
      </w:r>
    </w:p>
    <w:p w14:paraId="549CB6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w:t>
      </w:r>
      <w:r>
        <w:rPr>
          <w:rFonts w:hint="default" w:ascii="仿宋_GB2312" w:hAnsi="仿宋_GB2312" w:eastAsia="仿宋_GB2312" w:cs="仿宋_GB2312"/>
          <w:b w:val="0"/>
          <w:bCs w:val="0"/>
          <w:color w:val="auto"/>
          <w:sz w:val="32"/>
          <w:szCs w:val="32"/>
          <w:lang w:val="en" w:eastAsia="zh-CN"/>
        </w:rPr>
        <w:t>0</w:t>
      </w:r>
      <w:r>
        <w:rPr>
          <w:rFonts w:hint="eastAsia" w:ascii="仿宋_GB2312" w:hAnsi="仿宋_GB2312" w:eastAsia="仿宋_GB2312" w:cs="仿宋_GB2312"/>
          <w:b w:val="0"/>
          <w:bCs w:val="0"/>
          <w:color w:val="auto"/>
          <w:sz w:val="32"/>
          <w:szCs w:val="32"/>
          <w:lang w:val="en-US" w:eastAsia="zh-CN"/>
        </w:rPr>
        <w:t>.针对主要作物复杂性状智能设计模型精度不高、育种大模型应用率偏低等问题，研发建立高质量育种多组学数据库，构建农业育种大模型和智能体，开发覆盖“育种方案设计-组合智能推荐-多年多点测试”等育种全流程的智能体软件并进行示范验证，创建“高质量数据集构建-大模型与智能体训练-育种全链条决策-育种数据再生产”的智能育种体系，实现设计育种技术迭代升级、育种效率提升</w:t>
      </w:r>
      <w:r>
        <w:rPr>
          <w:rFonts w:hint="eastAsia" w:ascii="仿宋_GB2312" w:hAnsi="仿宋_GB2312" w:eastAsia="仿宋_GB2312" w:cs="仿宋_GB2312"/>
          <w:b w:val="0"/>
          <w:bCs w:val="0"/>
          <w:color w:val="auto"/>
          <w:sz w:val="32"/>
          <w:szCs w:val="32"/>
          <w:lang w:val="en-US" w:eastAsia="zh"/>
        </w:rPr>
        <w:t>。</w:t>
      </w:r>
    </w:p>
    <w:p w14:paraId="2E46C4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default" w:ascii="仿宋_GB2312" w:hAnsi="仿宋_GB2312" w:eastAsia="仿宋_GB2312" w:cs="仿宋_GB2312"/>
          <w:b w:val="0"/>
          <w:bCs w:val="0"/>
          <w:color w:val="auto"/>
          <w:sz w:val="32"/>
          <w:szCs w:val="32"/>
          <w:lang w:val="en" w:eastAsia="zh"/>
        </w:rPr>
        <w:t>11</w:t>
      </w:r>
      <w:r>
        <w:rPr>
          <w:rFonts w:hint="default"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 xml:space="preserve">针对设施蔬菜生产高精度传感器成本高、作物表型数据自动化获取难、相关装备产业化程度低等问题，研发低成本、高精度的作物光合、太阳总辐射、CO₂浓度等专用环境监测传感器，研发低成本、高效率的自动化蔬菜作物表型监测装备，提升关键装备的国产化替代水平，促进产业化规模应用。              </w:t>
      </w:r>
    </w:p>
    <w:p w14:paraId="1EEA4C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color w:val="auto"/>
          <w:sz w:val="32"/>
          <w:szCs w:val="32"/>
          <w:lang w:val="en-US" w:eastAsia="zh-CN"/>
        </w:rPr>
      </w:pPr>
      <w:r>
        <w:rPr>
          <w:rFonts w:hint="default" w:ascii="仿宋_GB2312" w:hAnsi="仿宋_GB2312" w:eastAsia="仿宋_GB2312" w:cs="仿宋_GB2312"/>
          <w:b w:val="0"/>
          <w:bCs w:val="0"/>
          <w:color w:val="auto"/>
          <w:sz w:val="32"/>
          <w:szCs w:val="32"/>
          <w:lang w:val="en" w:eastAsia="zh"/>
        </w:rPr>
        <w:t>12</w:t>
      </w:r>
      <w:r>
        <w:rPr>
          <w:rFonts w:hint="eastAsia" w:ascii="仿宋_GB2312" w:hAnsi="仿宋_GB2312" w:eastAsia="仿宋_GB2312" w:cs="仿宋_GB2312"/>
          <w:b w:val="0"/>
          <w:bCs w:val="0"/>
          <w:color w:val="auto"/>
          <w:sz w:val="32"/>
          <w:szCs w:val="32"/>
          <w:lang w:val="en-US" w:eastAsia="zh"/>
        </w:rPr>
        <w:t>.</w:t>
      </w:r>
      <w:r>
        <w:rPr>
          <w:rFonts w:hint="default" w:ascii="仿宋_GB2312" w:hAnsi="仿宋_GB2312" w:eastAsia="仿宋_GB2312" w:cs="仿宋_GB2312"/>
          <w:b w:val="0"/>
          <w:bCs w:val="0"/>
          <w:color w:val="auto"/>
          <w:sz w:val="32"/>
          <w:szCs w:val="32"/>
          <w:lang w:val="en-US" w:eastAsia="zh-CN"/>
        </w:rPr>
        <w:t>针对当前蛋鸡卵内性别鉴别技术通用性不足、设备功能单一、筛查效率较低等问题，开展通用型、非侵入式卵内性别与胚胎活力同步鉴别关键技术研究，开发智能检测算法模型与适配孵化流水线作业的智能装备，提升主流蛋鸡品种的繁育筛查效率。</w:t>
      </w:r>
    </w:p>
    <w:p w14:paraId="739BBB91">
      <w:pPr>
        <w:pStyle w:val="3"/>
        <w:keepNext w:val="0"/>
        <w:keepLines w:val="0"/>
        <w:pageBreakBefore w:val="0"/>
        <w:numPr>
          <w:ilvl w:val="0"/>
          <w:numId w:val="1"/>
        </w:numPr>
        <w:kinsoku/>
        <w:wordWrap/>
        <w:overflowPunct/>
        <w:topLinePunct w:val="0"/>
        <w:autoSpaceDE/>
        <w:autoSpaceDN/>
        <w:bidi w:val="0"/>
        <w:adjustRightInd w:val="0"/>
        <w:snapToGrid w:val="0"/>
        <w:spacing w:after="0" w:afterLines="0" w:line="560" w:lineRule="exact"/>
        <w:ind w:left="0" w:leftChars="0" w:firstLine="640" w:firstLineChars="200"/>
        <w:jc w:val="both"/>
        <w:textAlignment w:val="auto"/>
        <w:rPr>
          <w:rFonts w:hint="eastAsia" w:ascii="黑体" w:hAnsi="黑体" w:eastAsia="黑体" w:cs="黑体"/>
          <w:b w:val="0"/>
          <w:bCs w:val="0"/>
          <w:i w:val="0"/>
          <w:caps w:val="0"/>
          <w:color w:val="auto"/>
          <w:spacing w:val="0"/>
          <w:kern w:val="2"/>
          <w:sz w:val="32"/>
          <w:szCs w:val="32"/>
          <w:highlight w:val="none"/>
          <w:shd w:val="clear" w:color="auto" w:fill="FFFFFF"/>
          <w:lang w:val="en-US" w:eastAsia="zh-CN" w:bidi="ar-SA"/>
        </w:rPr>
      </w:pPr>
      <w:r>
        <w:rPr>
          <w:rFonts w:hint="eastAsia" w:ascii="黑体" w:hAnsi="黑体" w:eastAsia="黑体" w:cs="黑体"/>
          <w:b w:val="0"/>
          <w:bCs w:val="0"/>
          <w:i w:val="0"/>
          <w:caps w:val="0"/>
          <w:color w:val="auto"/>
          <w:spacing w:val="0"/>
          <w:kern w:val="2"/>
          <w:sz w:val="32"/>
          <w:szCs w:val="32"/>
          <w:highlight w:val="none"/>
          <w:shd w:val="clear" w:color="auto" w:fill="FFFFFF"/>
          <w:lang w:val="en-US" w:eastAsia="zh-CN" w:bidi="ar-SA"/>
        </w:rPr>
        <w:t>试验示范类</w:t>
      </w:r>
    </w:p>
    <w:p w14:paraId="5D1371C9">
      <w:pPr>
        <w:pStyle w:val="3"/>
        <w:keepNext w:val="0"/>
        <w:keepLines w:val="0"/>
        <w:pageBreakBefore w:val="0"/>
        <w:numPr>
          <w:ilvl w:val="0"/>
          <w:numId w:val="3"/>
        </w:numPr>
        <w:kinsoku/>
        <w:wordWrap/>
        <w:overflowPunct/>
        <w:topLinePunct w:val="0"/>
        <w:autoSpaceDE/>
        <w:autoSpaceDN/>
        <w:bidi w:val="0"/>
        <w:adjustRightInd w:val="0"/>
        <w:snapToGrid w:val="0"/>
        <w:spacing w:after="0" w:afterLines="0" w:line="560" w:lineRule="exact"/>
        <w:ind w:left="0" w:leftChars="0" w:firstLine="640" w:firstLineChars="200"/>
        <w:jc w:val="both"/>
        <w:textAlignment w:val="auto"/>
        <w:rPr>
          <w:rFonts w:hint="eastAsia" w:ascii="楷体_GB2312" w:hAnsi="楷体_GB2312" w:eastAsia="楷体_GB2312" w:cs="楷体_GB2312"/>
          <w:b w:val="0"/>
          <w:bCs w:val="0"/>
          <w:i w:val="0"/>
          <w:caps w:val="0"/>
          <w:color w:val="auto"/>
          <w:spacing w:val="0"/>
          <w:kern w:val="2"/>
          <w:sz w:val="32"/>
          <w:szCs w:val="32"/>
          <w:highlight w:val="none"/>
          <w:shd w:val="clear" w:color="auto" w:fill="FFFFFF"/>
          <w:lang w:val="en-US" w:eastAsia="zh-CN" w:bidi="ar-SA"/>
        </w:rPr>
      </w:pPr>
      <w:r>
        <w:rPr>
          <w:rFonts w:hint="eastAsia" w:ascii="楷体_GB2312" w:hAnsi="楷体_GB2312" w:eastAsia="楷体_GB2312" w:cs="楷体_GB2312"/>
          <w:b w:val="0"/>
          <w:bCs w:val="0"/>
          <w:i w:val="0"/>
          <w:caps w:val="0"/>
          <w:color w:val="auto"/>
          <w:spacing w:val="0"/>
          <w:kern w:val="2"/>
          <w:sz w:val="32"/>
          <w:szCs w:val="32"/>
          <w:highlight w:val="none"/>
          <w:shd w:val="clear" w:color="auto" w:fill="FFFFFF"/>
          <w:lang w:val="en-US" w:eastAsia="zh-CN" w:bidi="ar-SA"/>
        </w:rPr>
        <w:t>现代种业（</w:t>
      </w:r>
      <w:r>
        <w:rPr>
          <w:rFonts w:hint="eastAsia" w:ascii="楷体_GB2312" w:hAnsi="楷体_GB2312" w:eastAsia="楷体_GB2312" w:cs="楷体_GB2312"/>
          <w:b w:val="0"/>
          <w:bCs w:val="0"/>
          <w:i w:val="0"/>
          <w:caps w:val="0"/>
          <w:color w:val="auto"/>
          <w:spacing w:val="0"/>
          <w:kern w:val="2"/>
          <w:sz w:val="32"/>
          <w:szCs w:val="32"/>
          <w:highlight w:val="none"/>
          <w:shd w:val="clear" w:color="auto" w:fill="FFFFFF"/>
          <w:lang w:val="en-US" w:eastAsia="zh" w:bidi="ar-SA"/>
        </w:rPr>
        <w:t>4</w:t>
      </w:r>
      <w:r>
        <w:rPr>
          <w:rFonts w:hint="eastAsia" w:ascii="楷体_GB2312" w:hAnsi="楷体_GB2312" w:eastAsia="楷体_GB2312" w:cs="楷体_GB2312"/>
          <w:b w:val="0"/>
          <w:bCs w:val="0"/>
          <w:i w:val="0"/>
          <w:caps w:val="0"/>
          <w:color w:val="auto"/>
          <w:spacing w:val="0"/>
          <w:kern w:val="2"/>
          <w:sz w:val="32"/>
          <w:szCs w:val="32"/>
          <w:highlight w:val="none"/>
          <w:shd w:val="clear" w:color="auto" w:fill="FFFFFF"/>
          <w:lang w:val="en-US" w:eastAsia="zh-CN" w:bidi="ar-SA"/>
        </w:rPr>
        <w:t>项）</w:t>
      </w:r>
    </w:p>
    <w:p w14:paraId="2E8BD0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 1</w:t>
      </w:r>
      <w:r>
        <w:rPr>
          <w:rFonts w:hint="default" w:ascii="仿宋_GB2312" w:hAnsi="仿宋_GB2312" w:eastAsia="仿宋_GB2312" w:cs="仿宋_GB2312"/>
          <w:b w:val="0"/>
          <w:bCs w:val="0"/>
          <w:color w:val="auto"/>
          <w:sz w:val="32"/>
          <w:szCs w:val="32"/>
          <w:lang w:val="en" w:eastAsia="zh-CN"/>
        </w:rPr>
        <w:t>3</w:t>
      </w:r>
      <w:r>
        <w:rPr>
          <w:rFonts w:hint="eastAsia" w:ascii="仿宋_GB2312" w:hAnsi="仿宋_GB2312" w:eastAsia="仿宋_GB2312" w:cs="仿宋_GB2312"/>
          <w:b w:val="0"/>
          <w:bCs w:val="0"/>
          <w:color w:val="auto"/>
          <w:sz w:val="32"/>
          <w:szCs w:val="32"/>
          <w:lang w:val="en-US" w:eastAsia="zh-CN"/>
        </w:rPr>
        <w:t>.针对北京黑猪优质群体规模小、繁殖效率低、高端产品匮乏等产业问题，围绕优异种质的保存、智慧育种、高效扩繁等关键环节，集成生物育种和肉质营养调控等关键技术并开展示范应用，实现种质资源有效保护、高效繁育和特色生猪产品升级，推动北京黑猪由资源保存向创新利用转型。</w:t>
      </w:r>
    </w:p>
    <w:p w14:paraId="5D0C75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default" w:ascii="仿宋_GB2312" w:hAnsi="仿宋_GB2312" w:eastAsia="仿宋_GB2312" w:cs="仿宋_GB2312"/>
          <w:b w:val="0"/>
          <w:bCs w:val="0"/>
          <w:color w:val="auto"/>
          <w:sz w:val="32"/>
          <w:szCs w:val="32"/>
          <w:lang w:val="en" w:eastAsia="zh-CN"/>
        </w:rPr>
        <w:t>14</w:t>
      </w:r>
      <w:r>
        <w:rPr>
          <w:rFonts w:hint="eastAsia" w:ascii="仿宋_GB2312" w:hAnsi="仿宋_GB2312" w:eastAsia="仿宋_GB2312" w:cs="仿宋_GB2312"/>
          <w:b w:val="0"/>
          <w:bCs w:val="0"/>
          <w:color w:val="auto"/>
          <w:sz w:val="32"/>
          <w:szCs w:val="32"/>
          <w:lang w:val="en-US" w:eastAsia="zh-CN"/>
        </w:rPr>
        <w:t xml:space="preserve">.针对北京生猪京郊猪场繁养效率偏低、全产业链大数据集成度不高等问题，集成精准饲喂、高效繁育、生物安全管控等关键技术，开展全产业链大数据智慧育种系统集成并示范应用，形成适配本地、可复制推广的生猪高效繁养技术体系，助力产业降本增效、稳产保供。 </w:t>
      </w:r>
    </w:p>
    <w:p w14:paraId="31ED18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default" w:ascii="仿宋_GB2312" w:hAnsi="仿宋_GB2312" w:eastAsia="仿宋_GB2312" w:cs="仿宋_GB2312"/>
          <w:b w:val="0"/>
          <w:bCs w:val="0"/>
          <w:color w:val="auto"/>
          <w:sz w:val="32"/>
          <w:szCs w:val="32"/>
          <w:lang w:val="en" w:eastAsia="zh-CN"/>
        </w:rPr>
        <w:t>15</w:t>
      </w:r>
      <w:r>
        <w:rPr>
          <w:rFonts w:hint="eastAsia" w:ascii="仿宋_GB2312" w:hAnsi="仿宋_GB2312" w:eastAsia="仿宋_GB2312" w:cs="仿宋_GB2312"/>
          <w:b w:val="0"/>
          <w:bCs w:val="0"/>
          <w:color w:val="auto"/>
          <w:sz w:val="32"/>
          <w:szCs w:val="32"/>
          <w:lang w:val="en-US" w:eastAsia="zh-CN"/>
        </w:rPr>
        <w:t>.针对卵用鲟鱼苗种阶段性别难以鉴别、全雌苗种规模化培育技术尚未落地等产业痛点，集成鲟鱼早期性别鉴定技术工艺、全雌苗种高效培育技术，形成“水花培育—性别鉴定—雌雄分池—全雌培育”全链条技术体系，在北京鲟鱼良种场开展示范应用，提升性别鉴定准确率和全雌苗种培育成活率，打造北京鲟鱼全雌苗种精准繁育的标准化示范样板。</w:t>
      </w:r>
    </w:p>
    <w:p w14:paraId="073EF8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default" w:ascii="仿宋_GB2312" w:hAnsi="仿宋_GB2312" w:eastAsia="仿宋_GB2312" w:cs="仿宋_GB2312"/>
          <w:b w:val="0"/>
          <w:bCs w:val="0"/>
          <w:color w:val="auto"/>
          <w:sz w:val="32"/>
          <w:szCs w:val="32"/>
          <w:lang w:val="en" w:eastAsia="zh-CN"/>
        </w:rPr>
        <w:t>16</w:t>
      </w:r>
      <w:r>
        <w:rPr>
          <w:rFonts w:hint="eastAsia" w:ascii="仿宋_GB2312" w:hAnsi="仿宋_GB2312" w:eastAsia="仿宋_GB2312" w:cs="仿宋_GB2312"/>
          <w:b w:val="0"/>
          <w:bCs w:val="0"/>
          <w:color w:val="auto"/>
          <w:sz w:val="32"/>
          <w:szCs w:val="32"/>
          <w:lang w:val="en-US" w:eastAsia="zh-CN"/>
        </w:rPr>
        <w:t>.针对虹鳟三倍体种源不能自给、苗种规模化培育效率低等问题，集成虹鳟三倍体制种和苗种高效培育技术，在北京示范应用并辐射京津冀，打通陆海接力养殖模式，巩固提升北京在全国鲑鳟鱼产业领域的技术引领地位。</w:t>
      </w:r>
    </w:p>
    <w:p w14:paraId="61E723D8">
      <w:pPr>
        <w:pStyle w:val="3"/>
        <w:keepNext w:val="0"/>
        <w:keepLines w:val="0"/>
        <w:pageBreakBefore w:val="0"/>
        <w:kinsoku/>
        <w:wordWrap/>
        <w:overflowPunct/>
        <w:topLinePunct w:val="0"/>
        <w:autoSpaceDE/>
        <w:autoSpaceDN/>
        <w:bidi w:val="0"/>
        <w:adjustRightInd w:val="0"/>
        <w:snapToGrid w:val="0"/>
        <w:spacing w:after="0" w:afterLines="0" w:line="560" w:lineRule="exact"/>
        <w:ind w:left="0" w:leftChars="0" w:firstLine="640" w:firstLineChars="200"/>
        <w:jc w:val="both"/>
        <w:textAlignment w:val="auto"/>
        <w:rPr>
          <w:rFonts w:hint="eastAsia" w:ascii="楷体_GB2312" w:hAnsi="楷体_GB2312" w:eastAsia="楷体_GB2312" w:cs="楷体_GB2312"/>
          <w:b w:val="0"/>
          <w:bCs w:val="0"/>
          <w:i w:val="0"/>
          <w:caps w:val="0"/>
          <w:color w:val="auto"/>
          <w:spacing w:val="0"/>
          <w:kern w:val="2"/>
          <w:sz w:val="32"/>
          <w:szCs w:val="32"/>
          <w:highlight w:val="none"/>
          <w:shd w:val="clear" w:color="auto" w:fill="FFFFFF"/>
          <w:lang w:val="en-US" w:eastAsia="zh-CN" w:bidi="ar-SA"/>
        </w:rPr>
      </w:pPr>
      <w:r>
        <w:rPr>
          <w:rFonts w:hint="eastAsia" w:ascii="楷体_GB2312" w:hAnsi="楷体_GB2312" w:eastAsia="楷体_GB2312" w:cs="楷体_GB2312"/>
          <w:b w:val="0"/>
          <w:bCs w:val="0"/>
          <w:i w:val="0"/>
          <w:caps w:val="0"/>
          <w:color w:val="auto"/>
          <w:spacing w:val="0"/>
          <w:kern w:val="2"/>
          <w:sz w:val="32"/>
          <w:szCs w:val="32"/>
          <w:highlight w:val="none"/>
          <w:shd w:val="clear" w:color="auto" w:fill="FFFFFF"/>
          <w:lang w:val="en-US" w:eastAsia="zh-CN" w:bidi="ar-SA"/>
        </w:rPr>
        <w:t>（二）种植业（8项）</w:t>
      </w:r>
    </w:p>
    <w:p w14:paraId="474DF2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w:t>
      </w:r>
      <w:r>
        <w:rPr>
          <w:rFonts w:hint="default" w:ascii="仿宋_GB2312" w:hAnsi="仿宋_GB2312" w:eastAsia="仿宋_GB2312" w:cs="仿宋_GB2312"/>
          <w:b w:val="0"/>
          <w:bCs w:val="0"/>
          <w:color w:val="auto"/>
          <w:sz w:val="32"/>
          <w:szCs w:val="32"/>
          <w:lang w:val="en" w:eastAsia="zh-CN"/>
        </w:rPr>
        <w:t>7</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color w:val="auto"/>
          <w:sz w:val="32"/>
          <w:szCs w:val="32"/>
          <w:lang w:val="en-US" w:eastAsia="zh-CN"/>
        </w:rPr>
        <w:t>针对北京玉米生物育种产业化过程中存在的适配品种相应栽培技术、病虫害防控技术不足等问题，开展适配品种评价、配套栽培和病虫害防控技术研究，建立高效栽培技术体系并进行应用示范和效益评价，提高科学化种植水平，推动玉米生物育种产业化常规化种植、规模化发展。</w:t>
      </w:r>
    </w:p>
    <w:p w14:paraId="3397B1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 w:eastAsia="zh-CN"/>
        </w:rPr>
        <w:t>18</w:t>
      </w:r>
      <w:r>
        <w:rPr>
          <w:rFonts w:hint="eastAsia" w:ascii="仿宋_GB2312" w:hAnsi="仿宋_GB2312" w:eastAsia="仿宋_GB2312" w:cs="仿宋_GB2312"/>
          <w:color w:val="auto"/>
          <w:sz w:val="32"/>
          <w:szCs w:val="32"/>
          <w:lang w:val="en-US" w:eastAsia="zh-CN"/>
        </w:rPr>
        <w:t>.针对北京地区优质强筋小麦主栽品种不突出、栽培管理不配套、商品品质不稳定等问题，开展中强筋小麦品种筛选、品质稳定性与区域适应性、水肥精准调控、产后品质检测分级等关键技术研究，集成优质中强筋小麦提质增效技术体系，并在京郊示范应用，实现优质小麦“品种有基础、技术有配套、分级有依据、种麦有收益”的目标。</w:t>
      </w:r>
    </w:p>
    <w:p w14:paraId="209211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 w:eastAsia="zh-CN"/>
        </w:rPr>
        <w:t>19</w:t>
      </w:r>
      <w:r>
        <w:rPr>
          <w:rFonts w:hint="eastAsia" w:ascii="仿宋_GB2312" w:hAnsi="仿宋_GB2312" w:eastAsia="仿宋_GB2312" w:cs="仿宋_GB2312"/>
          <w:color w:val="auto"/>
          <w:sz w:val="32"/>
          <w:szCs w:val="32"/>
          <w:lang w:val="en-US" w:eastAsia="zh-CN"/>
        </w:rPr>
        <w:t>.针对京郊鲜食粮经产业中存在的优质品种更新缓慢、标准化技术不足、高品质产品缺乏、产后链条薄弱等短板问题，开展鲜食甘薯、花生及大豆特色品种引选与示范，围绕耕作制度、水肥管理、绿色防控、储存保鲜、农机适配等关键技术研究，集成优化“优新品种+高效栽培+绿色防控+农机融合+采后保鲜+商品品质提升”的全产业链技术体系，实现适时上市、货架期长、损耗降低的成效，达到提升标准化水平、满足首都高品质消费需求、促进产业提质增效的目标。</w:t>
      </w:r>
    </w:p>
    <w:p w14:paraId="3758BF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 w:eastAsia="zh-CN"/>
        </w:rPr>
        <w:t>20</w:t>
      </w:r>
      <w:r>
        <w:rPr>
          <w:rFonts w:hint="eastAsia" w:ascii="仿宋_GB2312" w:hAnsi="仿宋_GB2312" w:eastAsia="仿宋_GB2312" w:cs="仿宋_GB2312"/>
          <w:color w:val="auto"/>
          <w:sz w:val="32"/>
          <w:szCs w:val="32"/>
          <w:lang w:val="en-US" w:eastAsia="zh-CN"/>
        </w:rPr>
        <w:t>.针对当前频发的极端气象灾害对玉米生产产生的减产及灾损风险，开展灾后土壤及作物影响评价，筛选抗逆品种，研究抗逆调控、土壤改良、恢复生长等关键技术，集成以抗逆品种为基础，生长调节为核心的综合抗逆丰产栽培技术体系，形成适用于京郊玉米生产的减灾稳产技术方案，提升京郊玉米生产应对极端气候的韧性。</w:t>
      </w:r>
    </w:p>
    <w:p w14:paraId="7FA416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 w:eastAsia="zh-CN"/>
        </w:rPr>
        <w:t>21</w:t>
      </w:r>
      <w:r>
        <w:rPr>
          <w:rFonts w:hint="eastAsia" w:ascii="仿宋_GB2312" w:hAnsi="仿宋_GB2312" w:eastAsia="仿宋_GB2312" w:cs="仿宋_GB2312"/>
          <w:color w:val="auto"/>
          <w:sz w:val="32"/>
          <w:szCs w:val="32"/>
          <w:lang w:val="en-US" w:eastAsia="zh-CN"/>
        </w:rPr>
        <w:t>.针对本市蔬菜和小麦生产中存在的土壤线虫病危害严重、高效综合防控技术不足等问题，开展小麦孢囊线虫和蔬菜根结线虫分布调研，建立精准检测技术，集成线虫病绿色防控技术体系，并进行示范应用，明确京郊线虫病危害分布，降低重点区域病害发生率，减少因线虫病导致的小麦和蔬菜产量损失。</w:t>
      </w:r>
    </w:p>
    <w:p w14:paraId="5F092B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 w:eastAsia="zh-CN"/>
        </w:rPr>
        <w:t>22</w:t>
      </w:r>
      <w:r>
        <w:rPr>
          <w:rFonts w:hint="eastAsia" w:ascii="仿宋_GB2312" w:hAnsi="仿宋_GB2312" w:eastAsia="仿宋_GB2312" w:cs="仿宋_GB2312"/>
          <w:color w:val="auto"/>
          <w:sz w:val="32"/>
          <w:szCs w:val="32"/>
          <w:lang w:val="en-US" w:eastAsia="zh-CN"/>
        </w:rPr>
        <w:t>.针对高价值功能性蔬菜品种储备不足、配套标准化栽培技术缺乏、品质评价体系不健全等问题，开展功能性蔬菜优新品种引进筛选、品质提升关键栽培技术、活性成分分析与评价技术体系研究，集成应用良种良法配套的功能性蔬菜生产模式，推动京郊高价值功能性蔬菜产业提质增效。</w:t>
      </w:r>
    </w:p>
    <w:p w14:paraId="62D55B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 w:eastAsia="zh-CN"/>
        </w:rPr>
        <w:t>23</w:t>
      </w:r>
      <w:r>
        <w:rPr>
          <w:rFonts w:hint="eastAsia" w:ascii="仿宋_GB2312" w:hAnsi="仿宋_GB2312" w:eastAsia="仿宋_GB2312" w:cs="仿宋_GB2312"/>
          <w:color w:val="auto"/>
          <w:sz w:val="32"/>
          <w:szCs w:val="32"/>
          <w:lang w:val="en-US" w:eastAsia="zh-CN"/>
        </w:rPr>
        <w:t>.针对设施蔬菜集约化种植中天敌生境单一、应用技术集成度不高、持续控害能力不足等问题，开展主要害虫监测预警、天敌生境营建与保育增效、优势天敌精准应用、天敌安全配套用药等关键技术研究，集成优化综合防控技术体系，进行示范应用，促进以天敌为核心的生物防治效果有效提升。</w:t>
      </w:r>
    </w:p>
    <w:p w14:paraId="526E8D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 w:eastAsia="zh-CN"/>
        </w:rPr>
        <w:t>24</w:t>
      </w:r>
      <w:r>
        <w:rPr>
          <w:rFonts w:hint="eastAsia" w:ascii="仿宋_GB2312" w:hAnsi="仿宋_GB2312" w:eastAsia="仿宋_GB2312" w:cs="仿宋_GB2312"/>
          <w:color w:val="auto"/>
          <w:sz w:val="32"/>
          <w:szCs w:val="32"/>
          <w:lang w:val="en-US" w:eastAsia="zh-CN"/>
        </w:rPr>
        <w:t>.针对设施保温蓄热能力不足、除湿设备运行成本高等问题，开展光热功能新材料、能量调蓄、低成本除湿等新技术、新装备的筛选与研究，并在设施种植园区示范应用，降低设施种植环境调控成本。</w:t>
      </w:r>
    </w:p>
    <w:p w14:paraId="4428C0AC">
      <w:pPr>
        <w:pStyle w:val="3"/>
        <w:keepNext w:val="0"/>
        <w:keepLines w:val="0"/>
        <w:pageBreakBefore w:val="0"/>
        <w:kinsoku/>
        <w:wordWrap/>
        <w:overflowPunct/>
        <w:topLinePunct w:val="0"/>
        <w:autoSpaceDE/>
        <w:autoSpaceDN/>
        <w:bidi w:val="0"/>
        <w:adjustRightInd w:val="0"/>
        <w:snapToGrid w:val="0"/>
        <w:spacing w:after="0" w:afterLines="0" w:line="560" w:lineRule="exact"/>
        <w:ind w:left="0" w:leftChars="0" w:firstLine="640" w:firstLineChars="200"/>
        <w:jc w:val="both"/>
        <w:textAlignment w:val="auto"/>
        <w:rPr>
          <w:rFonts w:hint="eastAsia" w:ascii="楷体_GB2312" w:hAnsi="楷体_GB2312" w:eastAsia="楷体_GB2312" w:cs="楷体_GB2312"/>
          <w:b w:val="0"/>
          <w:bCs w:val="0"/>
          <w:i w:val="0"/>
          <w:caps w:val="0"/>
          <w:color w:val="auto"/>
          <w:spacing w:val="0"/>
          <w:kern w:val="2"/>
          <w:sz w:val="32"/>
          <w:szCs w:val="32"/>
          <w:highlight w:val="none"/>
          <w:shd w:val="clear" w:color="auto" w:fill="FFFFFF"/>
          <w:lang w:val="en-US" w:eastAsia="zh-CN" w:bidi="ar-SA"/>
        </w:rPr>
      </w:pPr>
      <w:r>
        <w:rPr>
          <w:rFonts w:hint="eastAsia" w:ascii="楷体_GB2312" w:hAnsi="楷体_GB2312" w:eastAsia="楷体_GB2312" w:cs="楷体_GB2312"/>
          <w:b w:val="0"/>
          <w:bCs w:val="0"/>
          <w:i w:val="0"/>
          <w:caps w:val="0"/>
          <w:color w:val="auto"/>
          <w:spacing w:val="0"/>
          <w:kern w:val="2"/>
          <w:sz w:val="32"/>
          <w:szCs w:val="32"/>
          <w:highlight w:val="none"/>
          <w:shd w:val="clear" w:color="auto" w:fill="FFFFFF"/>
          <w:lang w:val="en-US" w:eastAsia="zh-CN" w:bidi="ar-SA"/>
        </w:rPr>
        <w:t>（三）养殖业（9项）</w:t>
      </w:r>
    </w:p>
    <w:p w14:paraId="161080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 w:eastAsia="zh-CN"/>
        </w:rPr>
        <w:t>25</w:t>
      </w:r>
      <w:r>
        <w:rPr>
          <w:rFonts w:hint="eastAsia" w:ascii="仿宋_GB2312" w:hAnsi="仿宋_GB2312" w:eastAsia="仿宋_GB2312" w:cs="仿宋_GB2312"/>
          <w:color w:val="auto"/>
          <w:sz w:val="32"/>
          <w:szCs w:val="32"/>
          <w:lang w:val="en-US" w:eastAsia="zh-CN"/>
        </w:rPr>
        <w:t>.围绕北京市农业生物制造面临的中试放大平台匮乏、合规体系不完善等产业发展问题，构建涵盖人工智能（AI）驱动的高通量菌种选育、模块化柔性中试放大、产品功能与安全性评价的新型研发平台；利用该平台开展高产蛋白的菌株筛选和改造，建立工艺开发与优化、中试放大、产品安全性评价一体化研发流程，为北京市饲料替代蛋白产业发展提供系统性支撑。</w:t>
      </w:r>
    </w:p>
    <w:p w14:paraId="6E68F6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default" w:ascii="仿宋_GB2312" w:hAnsi="仿宋_GB2312" w:eastAsia="仿宋_GB2312" w:cs="仿宋_GB2312"/>
          <w:color w:val="auto"/>
          <w:sz w:val="32"/>
          <w:szCs w:val="32"/>
          <w:lang w:val="en" w:eastAsia="zh-CN"/>
        </w:rPr>
        <w:t>6</w:t>
      </w:r>
      <w:r>
        <w:rPr>
          <w:rFonts w:hint="default" w:ascii="仿宋_GB2312" w:hAnsi="仿宋_GB2312" w:eastAsia="仿宋_GB2312" w:cs="仿宋_GB2312"/>
          <w:color w:val="auto"/>
          <w:sz w:val="32"/>
          <w:szCs w:val="32"/>
          <w:lang w:val="en-US" w:eastAsia="zh-CN"/>
        </w:rPr>
        <w:t xml:space="preserve">.针对犬特应性皮炎高发但国产宠物治疗性抗体药物严重匮乏，进口药物售价高昂、供货周期不稳定、临床可及性低等产业问题，研发拥有自主知识产权的靶向治疗抗体药物，大幅降低治疗成本，提高用药安全性与适配性。                                </w:t>
      </w:r>
    </w:p>
    <w:p w14:paraId="032777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 w:eastAsia="zh"/>
        </w:rPr>
        <w:t>27</w:t>
      </w:r>
      <w:r>
        <w:rPr>
          <w:rFonts w:hint="default" w:ascii="仿宋_GB2312" w:hAnsi="仿宋_GB2312" w:eastAsia="仿宋_GB2312" w:cs="仿宋_GB2312"/>
          <w:color w:val="auto"/>
          <w:sz w:val="32"/>
          <w:szCs w:val="32"/>
          <w:lang w:val="en-US" w:eastAsia="zh-CN"/>
        </w:rPr>
        <w:t xml:space="preserve">.针对北京地区畜禽、伴侣动物及野生动物源的病原微生物资源基因组数据不足等问题，构建集多维基因数据库与智能溯源平台于一体的区域性、功能性动物病原微生物基因资源库，实现高通量全基因组测序解析、毒力与耐药基因挖掘、遗传演化分析及流行病学溯源的目标。   </w:t>
      </w:r>
    </w:p>
    <w:p w14:paraId="464FF4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 w:eastAsia="zh"/>
        </w:rPr>
        <w:t>28</w:t>
      </w:r>
      <w:r>
        <w:rPr>
          <w:rFonts w:hint="default" w:ascii="仿宋_GB2312" w:hAnsi="仿宋_GB2312" w:eastAsia="仿宋_GB2312" w:cs="仿宋_GB2312"/>
          <w:color w:val="auto"/>
          <w:sz w:val="32"/>
          <w:szCs w:val="32"/>
          <w:lang w:val="en-US" w:eastAsia="zh-CN"/>
        </w:rPr>
        <w:t>.针对家禽灭活疫苗传统注射操作应激反应大、短期生产性能下降等突出问题，应用黏膜免疫等技术手段，创制禽流感、新城疫二联水佐剂口服灭活疫苗，开展稳定性、安全性、有效性、饮水场景适配性等综合评价，克服注射免疫的弊端。</w:t>
      </w:r>
    </w:p>
    <w:p w14:paraId="3950A6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 w:eastAsia="zh"/>
        </w:rPr>
        <w:t>29</w:t>
      </w:r>
      <w:r>
        <w:rPr>
          <w:rFonts w:hint="default" w:ascii="仿宋_GB2312" w:hAnsi="仿宋_GB2312" w:eastAsia="仿宋_GB2312" w:cs="仿宋_GB2312"/>
          <w:color w:val="auto"/>
          <w:sz w:val="32"/>
          <w:szCs w:val="32"/>
          <w:lang w:val="en-US" w:eastAsia="zh-CN"/>
        </w:rPr>
        <w:t>.针对蛋鸡抗菌药物使用不规范导致的兽药残留和细菌耐药性等公共卫生安全风险，集成应用生物安全防控、微生态制剂、中兽药等减抗/替抗综合防治技术体系，形成成熟、规范、可复制的规模化蛋鸡健康养殖技术模式，推进蛋鸡产业减抗增效。</w:t>
      </w:r>
    </w:p>
    <w:p w14:paraId="4807B73E">
      <w:pPr>
        <w:keepNext w:val="0"/>
        <w:keepLines w:val="0"/>
        <w:widowControl w:val="0"/>
        <w:suppressLineNumbers w:val="0"/>
        <w:suppressAutoHyphens/>
        <w:spacing w:before="0" w:beforeAutospacing="0" w:after="0" w:afterAutospacing="0" w:line="560" w:lineRule="exact"/>
        <w:ind w:left="0" w:right="0" w:firstLine="640" w:firstLineChars="200"/>
        <w:jc w:val="both"/>
        <w:rPr>
          <w:rFonts w:hint="eastAsia" w:ascii="仿宋_GB2312" w:eastAsia="仿宋_GB2312" w:cs="仿宋_GB2312"/>
          <w:color w:val="auto"/>
          <w:kern w:val="2"/>
          <w:sz w:val="32"/>
          <w:szCs w:val="32"/>
        </w:rPr>
      </w:pPr>
      <w:r>
        <w:rPr>
          <w:rFonts w:hint="default" w:ascii="仿宋_GB2312" w:hAnsi="Calibri" w:eastAsia="仿宋_GB2312" w:cs="仿宋_GB2312"/>
          <w:color w:val="auto"/>
          <w:kern w:val="2"/>
          <w:sz w:val="32"/>
          <w:szCs w:val="32"/>
          <w:lang w:val="en" w:eastAsia="zh" w:bidi="ar"/>
        </w:rPr>
        <w:t>30</w:t>
      </w:r>
      <w:r>
        <w:rPr>
          <w:rFonts w:hint="eastAsia" w:ascii="仿宋_GB2312" w:hAnsi="Calibri" w:eastAsia="仿宋_GB2312" w:cs="仿宋_GB2312"/>
          <w:color w:val="auto"/>
          <w:kern w:val="2"/>
          <w:sz w:val="32"/>
          <w:szCs w:val="32"/>
          <w:lang w:val="en-US" w:eastAsia="zh-CN" w:bidi="ar"/>
        </w:rPr>
        <w:t>.针对北京市淡水鱼输入量大、品质不稳定，存在食品安全风险等情况，集成应用菌群调控、生物净化、营养提升等技术，结合数智化管理构建数字低碳渔仓，开展暂养调质，降低有害物质残留风险，解决部分水产品土腥味重、口感不佳等问题，进一步提高北京市水产品质量安全水平。</w:t>
      </w:r>
    </w:p>
    <w:p w14:paraId="0C77C92D">
      <w:pPr>
        <w:keepNext w:val="0"/>
        <w:keepLines w:val="0"/>
        <w:widowControl w:val="0"/>
        <w:suppressLineNumbers w:val="0"/>
        <w:suppressAutoHyphens/>
        <w:spacing w:before="0" w:beforeAutospacing="0" w:after="0" w:afterAutospacing="0" w:line="560" w:lineRule="exact"/>
        <w:ind w:left="0" w:right="0" w:firstLine="640" w:firstLineChars="200"/>
        <w:jc w:val="both"/>
        <w:rPr>
          <w:rFonts w:hint="eastAsia" w:ascii="仿宋_GB2312" w:eastAsia="仿宋_GB2312" w:cs="仿宋_GB2312"/>
          <w:color w:val="auto"/>
          <w:kern w:val="2"/>
          <w:sz w:val="32"/>
          <w:szCs w:val="32"/>
        </w:rPr>
      </w:pPr>
      <w:r>
        <w:rPr>
          <w:rFonts w:hint="default" w:ascii="仿宋_GB2312" w:hAnsi="Calibri" w:eastAsia="仿宋_GB2312" w:cs="仿宋_GB2312"/>
          <w:color w:val="auto"/>
          <w:kern w:val="2"/>
          <w:sz w:val="32"/>
          <w:szCs w:val="32"/>
          <w:lang w:val="en" w:eastAsia="zh" w:bidi="ar"/>
        </w:rPr>
        <w:t>31</w:t>
      </w:r>
      <w:r>
        <w:rPr>
          <w:rFonts w:hint="eastAsia" w:ascii="仿宋_GB2312" w:hAnsi="Calibri" w:eastAsia="仿宋_GB2312" w:cs="仿宋_GB2312"/>
          <w:color w:val="auto"/>
          <w:kern w:val="2"/>
          <w:sz w:val="32"/>
          <w:szCs w:val="32"/>
          <w:lang w:val="en-US" w:eastAsia="zh-CN" w:bidi="ar"/>
        </w:rPr>
        <w:t>.针对鲫、大口黑鲈等北京市重点养殖品种病害多发、养殖用药不规范等问题，优化科学养殖管控与水质处理技术，研发水质、鱼体行为、病害一体化智能预警设备，开发快速诊断试剂盒与高效替抗组方，构建“健康养殖、智能预警、精准替抗”三位一体技术体系并示范应用，为水产养殖绿色安全发展提供科技支撑。</w:t>
      </w:r>
    </w:p>
    <w:p w14:paraId="0DB85E8A">
      <w:pPr>
        <w:keepNext w:val="0"/>
        <w:keepLines w:val="0"/>
        <w:widowControl w:val="0"/>
        <w:suppressLineNumbers w:val="0"/>
        <w:suppressAutoHyphens/>
        <w:spacing w:before="0" w:beforeAutospacing="0" w:after="0" w:afterAutospacing="0" w:line="560" w:lineRule="exact"/>
        <w:ind w:left="0" w:right="0" w:firstLine="640" w:firstLineChars="200"/>
        <w:jc w:val="both"/>
        <w:rPr>
          <w:rFonts w:hint="eastAsia" w:ascii="仿宋_GB2312" w:eastAsia="仿宋_GB2312" w:cs="仿宋_GB2312"/>
          <w:b w:val="0"/>
          <w:bCs w:val="0"/>
          <w:color w:val="auto"/>
          <w:kern w:val="2"/>
          <w:sz w:val="32"/>
          <w:szCs w:val="32"/>
          <w:highlight w:val="none"/>
        </w:rPr>
      </w:pPr>
      <w:r>
        <w:rPr>
          <w:rFonts w:hint="default" w:ascii="仿宋_GB2312" w:hAnsi="Calibri" w:eastAsia="仿宋_GB2312" w:cs="仿宋_GB2312"/>
          <w:b w:val="0"/>
          <w:bCs w:val="0"/>
          <w:color w:val="auto"/>
          <w:kern w:val="2"/>
          <w:sz w:val="32"/>
          <w:szCs w:val="32"/>
          <w:highlight w:val="none"/>
          <w:lang w:val="en" w:eastAsia="zh" w:bidi="ar"/>
        </w:rPr>
        <w:t>32</w:t>
      </w:r>
      <w:r>
        <w:rPr>
          <w:rFonts w:hint="eastAsia" w:ascii="仿宋_GB2312" w:hAnsi="Calibri" w:eastAsia="仿宋_GB2312" w:cs="仿宋_GB2312"/>
          <w:b w:val="0"/>
          <w:bCs w:val="0"/>
          <w:color w:val="auto"/>
          <w:kern w:val="2"/>
          <w:sz w:val="32"/>
          <w:szCs w:val="32"/>
          <w:highlight w:val="none"/>
          <w:lang w:val="en-US" w:eastAsia="zh-CN" w:bidi="ar"/>
        </w:rPr>
        <w:t>.针对规模化养殖奶牛饲料利用效率提升的技术瓶颈，相关性状测评手段不足、选育技术体系不完善等问题，集成应用智能表型信息获取、数据协同解析等技术，开展奶牛饲料转化效率精准评价与智能选育技术研究，形成适配规模化牧场的饲料利用效率精准测评与智能选育技术方案并示范应用，推动北京市奶业降本增效。</w:t>
      </w:r>
    </w:p>
    <w:p w14:paraId="4A5B3991">
      <w:pPr>
        <w:keepNext w:val="0"/>
        <w:keepLines w:val="0"/>
        <w:widowControl w:val="0"/>
        <w:suppressLineNumbers w:val="0"/>
        <w:suppressAutoHyphens/>
        <w:spacing w:before="0" w:beforeAutospacing="0" w:after="0" w:afterAutospacing="0" w:line="560" w:lineRule="exact"/>
        <w:ind w:left="0" w:right="0" w:firstLine="640" w:firstLineChars="200"/>
        <w:jc w:val="both"/>
        <w:rPr>
          <w:rFonts w:hint="default" w:ascii="仿宋_GB2312" w:hAnsi="仿宋_GB2312" w:eastAsia="仿宋_GB2312" w:cs="仿宋_GB2312"/>
          <w:b w:val="0"/>
          <w:bCs w:val="0"/>
          <w:color w:val="auto"/>
          <w:sz w:val="32"/>
          <w:szCs w:val="32"/>
          <w:highlight w:val="none"/>
          <w:lang w:val="en-US" w:eastAsia="zh-CN"/>
        </w:rPr>
      </w:pPr>
      <w:r>
        <w:rPr>
          <w:rFonts w:hint="default" w:ascii="仿宋_GB2312" w:hAnsi="Calibri" w:eastAsia="仿宋_GB2312" w:cs="仿宋_GB2312"/>
          <w:b w:val="0"/>
          <w:bCs w:val="0"/>
          <w:color w:val="auto"/>
          <w:kern w:val="2"/>
          <w:sz w:val="32"/>
          <w:szCs w:val="32"/>
          <w:highlight w:val="none"/>
          <w:lang w:val="en" w:eastAsia="zh" w:bidi="ar"/>
        </w:rPr>
        <w:t>33</w:t>
      </w:r>
      <w:r>
        <w:rPr>
          <w:rFonts w:hint="eastAsia" w:ascii="仿宋_GB2312" w:hAnsi="Calibri" w:eastAsia="仿宋_GB2312" w:cs="仿宋_GB2312"/>
          <w:b w:val="0"/>
          <w:bCs w:val="0"/>
          <w:color w:val="auto"/>
          <w:kern w:val="2"/>
          <w:sz w:val="32"/>
          <w:szCs w:val="32"/>
          <w:highlight w:val="none"/>
          <w:lang w:val="en-US" w:eastAsia="zh-CN" w:bidi="ar"/>
        </w:rPr>
        <w:t>.针对北京市肉牛优质种源扩繁体系不完善，集成肉牛活体采卵、体外胚胎生产、胚胎移植等技术，优化肉牛高效繁育技术体系，形成标准化技术规程并示范应用，推动北京市肉牛产业提质增效与转型升级。</w:t>
      </w:r>
    </w:p>
    <w:p w14:paraId="0BFA666C">
      <w:pPr>
        <w:pStyle w:val="3"/>
        <w:keepNext w:val="0"/>
        <w:keepLines w:val="0"/>
        <w:pageBreakBefore w:val="0"/>
        <w:kinsoku/>
        <w:wordWrap/>
        <w:overflowPunct/>
        <w:topLinePunct w:val="0"/>
        <w:autoSpaceDE/>
        <w:autoSpaceDN/>
        <w:bidi w:val="0"/>
        <w:adjustRightInd w:val="0"/>
        <w:snapToGrid w:val="0"/>
        <w:spacing w:after="0" w:afterLines="0" w:line="560" w:lineRule="exact"/>
        <w:ind w:left="0" w:leftChars="0" w:firstLine="640" w:firstLineChars="200"/>
        <w:jc w:val="both"/>
        <w:textAlignment w:val="auto"/>
        <w:rPr>
          <w:rFonts w:hint="eastAsia" w:ascii="楷体_GB2312" w:hAnsi="楷体_GB2312" w:eastAsia="楷体_GB2312" w:cs="楷体_GB2312"/>
          <w:b w:val="0"/>
          <w:bCs w:val="0"/>
          <w:i w:val="0"/>
          <w:caps w:val="0"/>
          <w:color w:val="auto"/>
          <w:spacing w:val="0"/>
          <w:kern w:val="2"/>
          <w:sz w:val="32"/>
          <w:szCs w:val="32"/>
          <w:highlight w:val="none"/>
          <w:shd w:val="clear" w:color="auto" w:fill="FFFFFF"/>
          <w:lang w:val="en-US" w:eastAsia="zh-CN" w:bidi="ar-SA"/>
        </w:rPr>
      </w:pPr>
      <w:r>
        <w:rPr>
          <w:rFonts w:hint="eastAsia" w:ascii="楷体_GB2312" w:hAnsi="楷体_GB2312" w:eastAsia="楷体_GB2312" w:cs="楷体_GB2312"/>
          <w:b w:val="0"/>
          <w:bCs w:val="0"/>
          <w:i w:val="0"/>
          <w:caps w:val="0"/>
          <w:color w:val="auto"/>
          <w:spacing w:val="0"/>
          <w:kern w:val="2"/>
          <w:sz w:val="32"/>
          <w:szCs w:val="32"/>
          <w:highlight w:val="none"/>
          <w:shd w:val="clear" w:color="auto" w:fill="FFFFFF"/>
          <w:lang w:val="en-US" w:eastAsia="zh-CN" w:bidi="ar-SA"/>
        </w:rPr>
        <w:t>（四）智慧农业与智能装备（</w:t>
      </w:r>
      <w:r>
        <w:rPr>
          <w:rFonts w:hint="eastAsia" w:ascii="楷体_GB2312" w:hAnsi="楷体_GB2312" w:eastAsia="楷体_GB2312" w:cs="楷体_GB2312"/>
          <w:b w:val="0"/>
          <w:bCs w:val="0"/>
          <w:i w:val="0"/>
          <w:caps w:val="0"/>
          <w:color w:val="auto"/>
          <w:spacing w:val="0"/>
          <w:kern w:val="2"/>
          <w:sz w:val="32"/>
          <w:szCs w:val="32"/>
          <w:highlight w:val="none"/>
          <w:shd w:val="clear" w:color="auto" w:fill="FFFFFF"/>
          <w:lang w:val="en-US" w:eastAsia="zh" w:bidi="ar-SA"/>
        </w:rPr>
        <w:t>8</w:t>
      </w:r>
      <w:r>
        <w:rPr>
          <w:rFonts w:hint="eastAsia" w:ascii="楷体_GB2312" w:hAnsi="楷体_GB2312" w:eastAsia="楷体_GB2312" w:cs="楷体_GB2312"/>
          <w:b w:val="0"/>
          <w:bCs w:val="0"/>
          <w:i w:val="0"/>
          <w:caps w:val="0"/>
          <w:color w:val="auto"/>
          <w:spacing w:val="0"/>
          <w:kern w:val="2"/>
          <w:sz w:val="32"/>
          <w:szCs w:val="32"/>
          <w:highlight w:val="none"/>
          <w:shd w:val="clear" w:color="auto" w:fill="FFFFFF"/>
          <w:lang w:val="en-US" w:eastAsia="zh-CN" w:bidi="ar-SA"/>
        </w:rPr>
        <w:t>项）</w:t>
      </w:r>
    </w:p>
    <w:p w14:paraId="4947D4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default" w:ascii="仿宋_GB2312" w:hAnsi="仿宋_GB2312" w:eastAsia="仿宋_GB2312" w:cs="仿宋_GB2312"/>
          <w:color w:val="auto"/>
          <w:sz w:val="32"/>
          <w:szCs w:val="32"/>
          <w:lang w:val="en" w:eastAsia="zh-CN"/>
        </w:rPr>
        <w:t>34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针对北京市当前植保无人驾驶航空器作业受限，大田高秆作物、露地蔬菜、林果缺乏高效适用地面植保装备等问题，开展地面植保防控技术、装备适配性与农机农艺融合模式研究，形成覆盖粮、菜、果机械化植保装备配套方案，在京郊开展试验示范，提升地面植保作业能力。</w:t>
      </w:r>
    </w:p>
    <w:p w14:paraId="65FCF1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 w:eastAsia="zh"/>
        </w:rPr>
        <w:t>35</w:t>
      </w:r>
      <w:r>
        <w:rPr>
          <w:rFonts w:hint="eastAsia" w:ascii="仿宋_GB2312" w:hAnsi="仿宋_GB2312" w:eastAsia="仿宋_GB2312" w:cs="仿宋_GB2312"/>
          <w:color w:val="auto"/>
          <w:sz w:val="32"/>
          <w:szCs w:val="32"/>
          <w:lang w:val="en-US" w:eastAsia="zh"/>
        </w:rPr>
        <w:t>.</w:t>
      </w:r>
      <w:r>
        <w:rPr>
          <w:rFonts w:hint="eastAsia" w:ascii="仿宋_GB2312" w:hAnsi="仿宋_GB2312" w:eastAsia="仿宋_GB2312" w:cs="仿宋_GB2312"/>
          <w:color w:val="auto"/>
          <w:sz w:val="32"/>
          <w:szCs w:val="32"/>
          <w:lang w:val="en-US" w:eastAsia="zh-CN"/>
        </w:rPr>
        <w:t>针对北京设施果蔬生产数智化决策水平低、适用不同作物的垂类模型较少等问题，研发作物机理与环境数据耦合的智能模型，研发番茄、草莓、叶菜等日光温室主栽果蔬品类的垂类模型，开发设施果蔬种植管理智能体，在公益性“数智京园”设施农业管控系统中集成应用，并开展示范验证，实现从“人工决策”向“AI辅助自主决策”的升级。</w:t>
      </w:r>
    </w:p>
    <w:p w14:paraId="11B06F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
        </w:rPr>
        <w:t>3</w:t>
      </w:r>
      <w:r>
        <w:rPr>
          <w:rFonts w:hint="default" w:ascii="仿宋_GB2312" w:hAnsi="仿宋_GB2312" w:eastAsia="仿宋_GB2312" w:cs="仿宋_GB2312"/>
          <w:color w:val="auto"/>
          <w:sz w:val="32"/>
          <w:szCs w:val="32"/>
          <w:lang w:val="en" w:eastAsia="zh"/>
        </w:rPr>
        <w:t>6</w:t>
      </w:r>
      <w:r>
        <w:rPr>
          <w:rFonts w:hint="eastAsia" w:ascii="仿宋_GB2312" w:hAnsi="仿宋_GB2312" w:eastAsia="仿宋_GB2312" w:cs="仿宋_GB2312"/>
          <w:color w:val="auto"/>
          <w:sz w:val="32"/>
          <w:szCs w:val="32"/>
          <w:lang w:val="en-US" w:eastAsia="zh"/>
        </w:rPr>
        <w:t>.</w:t>
      </w:r>
      <w:r>
        <w:rPr>
          <w:rFonts w:hint="default" w:ascii="仿宋_GB2312" w:hAnsi="仿宋_GB2312" w:eastAsia="仿宋_GB2312" w:cs="仿宋_GB2312"/>
          <w:color w:val="auto"/>
          <w:sz w:val="32"/>
          <w:szCs w:val="32"/>
          <w:lang w:val="en-US" w:eastAsia="zh-CN"/>
        </w:rPr>
        <w:t>针对北京生猪养殖数智化技术装备集成应用不足等问题，集成应用环境监测调控、体征监测、精准饲喂、疫病诊断与防控、粪污自动化处理及管控平台等技术装备，在京郊规模养殖场示范应用，提升数智化生产管理水平。</w:t>
      </w:r>
      <w:r>
        <w:rPr>
          <w:rFonts w:hint="eastAsia" w:ascii="仿宋_GB2312" w:hAnsi="仿宋_GB2312" w:eastAsia="仿宋_GB2312" w:cs="仿宋_GB2312"/>
          <w:color w:val="auto"/>
          <w:sz w:val="32"/>
          <w:szCs w:val="32"/>
          <w:lang w:val="en-US" w:eastAsia="zh-CN"/>
        </w:rPr>
        <w:t xml:space="preserve">                     </w:t>
      </w:r>
    </w:p>
    <w:p w14:paraId="52F49F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 w:eastAsia="zh"/>
        </w:rPr>
        <w:t>37</w:t>
      </w:r>
      <w:r>
        <w:rPr>
          <w:rFonts w:hint="eastAsia" w:ascii="仿宋_GB2312" w:hAnsi="仿宋_GB2312" w:eastAsia="仿宋_GB2312" w:cs="仿宋_GB2312"/>
          <w:color w:val="auto"/>
          <w:sz w:val="32"/>
          <w:szCs w:val="32"/>
          <w:lang w:val="en-US" w:eastAsia="zh-CN"/>
        </w:rPr>
        <w:t>.针对露地蔬菜生产全程机械化水平较低、智能装备集成应用不足、数智化管控水平不高等问题，集成应用耕整地、播种移栽、灌溉施肥、植保、收获等关键环节技术装备和数智化管控平台，在京郊开展试验示范，形成少人化、无人化生产管控体系，提升露地蔬菜生产机械化、数智化水平。</w:t>
      </w:r>
    </w:p>
    <w:p w14:paraId="5C4493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 w:eastAsia="zh"/>
        </w:rPr>
        <w:t>38</w:t>
      </w:r>
      <w:r>
        <w:rPr>
          <w:rFonts w:hint="eastAsia" w:ascii="仿宋_GB2312" w:hAnsi="仿宋_GB2312" w:eastAsia="仿宋_GB2312" w:cs="仿宋_GB2312"/>
          <w:color w:val="auto"/>
          <w:sz w:val="32"/>
          <w:szCs w:val="32"/>
          <w:lang w:val="en-US" w:eastAsia="zh-CN"/>
        </w:rPr>
        <w:t>.针对北京农业全产业链数字化服务覆盖不均衡、服务内容不全、AI应用赋能不足等问题，集成开发畜禽与水产养殖、农产品质量安全、品牌培育、现代农事综合服务等数字化服务功能，开发基于用户动态画像的多模态AI智能服务功能，在公益性“京农服”平台集成应用，提升对京郊农业生产主体的数字化服务水平。</w:t>
      </w:r>
    </w:p>
    <w:p w14:paraId="0645C9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 w:eastAsia="zh"/>
        </w:rPr>
        <w:t>39</w:t>
      </w:r>
      <w:r>
        <w:rPr>
          <w:rFonts w:hint="eastAsia" w:ascii="仿宋_GB2312" w:hAnsi="仿宋_GB2312" w:eastAsia="仿宋_GB2312" w:cs="仿宋_GB2312"/>
          <w:color w:val="auto"/>
          <w:sz w:val="32"/>
          <w:szCs w:val="32"/>
          <w:lang w:val="en-US" w:eastAsia="zh-CN"/>
        </w:rPr>
        <w:t>.针对设施电动拖拉机装备适用性不足、推广落地难等问题，开展设施电动拖拉机适用性试验验证，开展耕整地、起垄覆膜、播种移栽等环节作业机具适配性熟化应用，助力首都设施农业低碳化、生态化和智能化发展。</w:t>
      </w:r>
    </w:p>
    <w:p w14:paraId="567C73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 w:eastAsia="zh"/>
        </w:rPr>
        <w:t>40</w:t>
      </w:r>
      <w:r>
        <w:rPr>
          <w:rFonts w:hint="eastAsia" w:ascii="仿宋_GB2312" w:hAnsi="仿宋_GB2312" w:eastAsia="仿宋_GB2312" w:cs="仿宋_GB2312"/>
          <w:color w:val="auto"/>
          <w:sz w:val="32"/>
          <w:szCs w:val="32"/>
          <w:lang w:val="en-US" w:eastAsia="zh-CN"/>
        </w:rPr>
        <w:t>.针对玉米收获机作业过程中驾驶人视野受限、无关人员进入作业现场难以发现，存在安全生产事故隐患的问题，开展人员与牲畜入侵检测关键技术研发，开发低成本、全天候的实时监测预警控制系统和配套装备，实现作业区内生物入侵自动识别、声光报警、自动减速/停车联动控制，在京郊农机专业合作社开展示范应用，保障收获作业安全。</w:t>
      </w:r>
    </w:p>
    <w:p w14:paraId="480DDE0F">
      <w:pPr>
        <w:keepNext w:val="0"/>
        <w:keepLines w:val="0"/>
        <w:widowControl w:val="0"/>
        <w:suppressLineNumbers w:val="0"/>
        <w:suppressAutoHyphens/>
        <w:autoSpaceDE w:val="0"/>
        <w:autoSpaceDN/>
        <w:spacing w:before="0" w:beforeAutospacing="0" w:after="0" w:afterAutospacing="0" w:line="560" w:lineRule="exact"/>
        <w:ind w:left="0" w:right="0" w:firstLine="640" w:firstLineChars="200"/>
        <w:jc w:val="both"/>
        <w:rPr>
          <w:rFonts w:hint="eastAsia" w:ascii="仿宋_GB2312" w:hAnsi="仿宋_GB2312" w:eastAsia="仿宋_GB2312" w:cs="仿宋_GB2312"/>
          <w:color w:val="auto"/>
          <w:sz w:val="32"/>
          <w:szCs w:val="32"/>
          <w:lang w:val="en-US" w:eastAsia="zh-CN"/>
        </w:rPr>
      </w:pPr>
      <w:r>
        <w:rPr>
          <w:rFonts w:hint="default" w:ascii="仿宋_GB2312" w:hAnsi="Calibri" w:eastAsia="仿宋_GB2312" w:cs="仿宋_GB2312"/>
          <w:b w:val="0"/>
          <w:bCs w:val="0"/>
          <w:color w:val="auto"/>
          <w:kern w:val="2"/>
          <w:sz w:val="32"/>
          <w:szCs w:val="32"/>
          <w:lang w:val="en" w:eastAsia="zh" w:bidi="ar"/>
        </w:rPr>
        <w:t>41</w:t>
      </w:r>
      <w:r>
        <w:rPr>
          <w:rFonts w:hint="eastAsia" w:ascii="仿宋_GB2312" w:hAnsi="Calibri" w:eastAsia="仿宋_GB2312" w:cs="仿宋_GB2312"/>
          <w:b w:val="0"/>
          <w:bCs w:val="0"/>
          <w:color w:val="auto"/>
          <w:kern w:val="2"/>
          <w:sz w:val="32"/>
          <w:szCs w:val="32"/>
          <w:lang w:val="en-US" w:eastAsia="zh-CN" w:bidi="ar"/>
        </w:rPr>
        <w:t>.针对北京镇村监测设备利用效率较低、乡镇数字化治理水平不高等问题，研发基于现有监测设备的轻量化视觉识别边缘算法模型，在基层监测预警、巡查巡检等方面应用；研发镇级乡村治理数字化服务功能模块；在公益性“数字京村”平台集成并示范应用，实现数字化赋能乡镇治理。</w:t>
      </w:r>
    </w:p>
    <w:p w14:paraId="5761F6D8">
      <w:pPr>
        <w:pStyle w:val="3"/>
        <w:keepNext w:val="0"/>
        <w:keepLines w:val="0"/>
        <w:pageBreakBefore w:val="0"/>
        <w:kinsoku/>
        <w:wordWrap/>
        <w:overflowPunct/>
        <w:topLinePunct w:val="0"/>
        <w:autoSpaceDE/>
        <w:autoSpaceDN/>
        <w:bidi w:val="0"/>
        <w:adjustRightInd w:val="0"/>
        <w:snapToGrid w:val="0"/>
        <w:spacing w:after="0" w:afterLines="0" w:line="560" w:lineRule="exact"/>
        <w:ind w:left="0" w:leftChars="0" w:firstLine="640" w:firstLineChars="200"/>
        <w:jc w:val="both"/>
        <w:textAlignment w:val="auto"/>
        <w:rPr>
          <w:rFonts w:hint="eastAsia" w:ascii="楷体_GB2312" w:hAnsi="楷体_GB2312" w:eastAsia="楷体_GB2312" w:cs="楷体_GB2312"/>
          <w:b w:val="0"/>
          <w:bCs w:val="0"/>
          <w:i w:val="0"/>
          <w:caps w:val="0"/>
          <w:color w:val="auto"/>
          <w:spacing w:val="0"/>
          <w:kern w:val="2"/>
          <w:sz w:val="32"/>
          <w:szCs w:val="32"/>
          <w:highlight w:val="none"/>
          <w:shd w:val="clear" w:color="auto" w:fill="FFFFFF"/>
          <w:lang w:val="en-US" w:eastAsia="zh-CN" w:bidi="ar-SA"/>
        </w:rPr>
      </w:pPr>
      <w:r>
        <w:rPr>
          <w:rFonts w:hint="eastAsia" w:ascii="楷体_GB2312" w:hAnsi="楷体_GB2312" w:eastAsia="楷体_GB2312" w:cs="楷体_GB2312"/>
          <w:b w:val="0"/>
          <w:bCs w:val="0"/>
          <w:i w:val="0"/>
          <w:caps w:val="0"/>
          <w:color w:val="auto"/>
          <w:spacing w:val="0"/>
          <w:kern w:val="2"/>
          <w:sz w:val="32"/>
          <w:szCs w:val="32"/>
          <w:highlight w:val="none"/>
          <w:shd w:val="clear" w:color="auto" w:fill="FFFFFF"/>
          <w:lang w:val="en-US" w:eastAsia="zh-CN" w:bidi="ar-SA"/>
        </w:rPr>
        <w:t>（五）生态低碳循环（2项）</w:t>
      </w:r>
    </w:p>
    <w:p w14:paraId="1C4ECE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default" w:ascii="仿宋_GB2312" w:hAnsi="仿宋_GB2312" w:eastAsia="仿宋_GB2312" w:cs="仿宋_GB2312"/>
          <w:color w:val="auto"/>
          <w:sz w:val="32"/>
          <w:szCs w:val="32"/>
          <w:lang w:val="en" w:eastAsia="zh-CN"/>
        </w:rPr>
        <w:t>42</w:t>
      </w:r>
      <w:r>
        <w:rPr>
          <w:rFonts w:hint="eastAsia" w:ascii="仿宋_GB2312" w:hAnsi="仿宋_GB2312" w:eastAsia="仿宋_GB2312" w:cs="仿宋_GB2312"/>
          <w:color w:val="auto"/>
          <w:sz w:val="32"/>
          <w:szCs w:val="32"/>
          <w:lang w:val="en-US" w:eastAsia="zh-CN"/>
        </w:rPr>
        <w:t>.针对京郊水源保护区生态管控严格带来的粮食作物生产效益与生态保护难协同，绿色低碳技术生态效益量化不足等问题，开展主要粮食作物减排固碳关键技术研究，集成病虫害绿色防控技术，建立典型的土壤碳库定位监测点位，构建减碳增效指标评价体系，实现推动水源保护区粮食作物种植从“被动限肥减药”向“主动固碳养地、生态增值”转变。</w:t>
      </w:r>
    </w:p>
    <w:p w14:paraId="05E13F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i w:val="0"/>
          <w:caps w:val="0"/>
          <w:color w:val="auto"/>
          <w:spacing w:val="0"/>
          <w:kern w:val="2"/>
          <w:sz w:val="32"/>
          <w:szCs w:val="32"/>
          <w:highlight w:val="none"/>
          <w:shd w:val="clear" w:color="auto" w:fill="FFFFFF"/>
          <w:lang w:val="en-US" w:eastAsia="zh-CN" w:bidi="ar-SA"/>
        </w:rPr>
      </w:pPr>
      <w:r>
        <w:rPr>
          <w:rFonts w:hint="default" w:ascii="仿宋_GB2312" w:hAnsi="仿宋_GB2312" w:eastAsia="仿宋_GB2312" w:cs="仿宋_GB2312"/>
          <w:color w:val="auto"/>
          <w:sz w:val="32"/>
          <w:szCs w:val="32"/>
          <w:lang w:val="en" w:eastAsia="zh-CN"/>
        </w:rPr>
        <w:t>43</w:t>
      </w:r>
      <w:r>
        <w:rPr>
          <w:rFonts w:hint="eastAsia" w:ascii="仿宋_GB2312" w:hAnsi="仿宋_GB2312" w:eastAsia="仿宋_GB2312" w:cs="仿宋_GB2312"/>
          <w:color w:val="auto"/>
          <w:sz w:val="32"/>
          <w:szCs w:val="32"/>
          <w:lang w:val="en-US" w:eastAsia="zh-CN"/>
        </w:rPr>
        <w:t xml:space="preserve">.针对目前京郊农场生态循环农业存在种养结构不平衡、化学氮磷投入过高、农业废弃物处理粗放等问题，开展多元农业废弃物协同处理、种养养分闭环管理、农业生态环境保护修复等关键技术、产品集成与应用，形成可复制的技术模式，打造生态农场典型应用场景，助推京郊农业绿色低碳水平进一步提升。      </w:t>
      </w:r>
    </w:p>
    <w:p w14:paraId="1AC70EB6">
      <w:pPr>
        <w:pStyle w:val="3"/>
        <w:keepNext w:val="0"/>
        <w:keepLines w:val="0"/>
        <w:pageBreakBefore w:val="0"/>
        <w:kinsoku/>
        <w:wordWrap/>
        <w:overflowPunct/>
        <w:topLinePunct w:val="0"/>
        <w:autoSpaceDE/>
        <w:autoSpaceDN/>
        <w:bidi w:val="0"/>
        <w:adjustRightInd w:val="0"/>
        <w:snapToGrid w:val="0"/>
        <w:spacing w:after="0" w:afterLines="0" w:line="560" w:lineRule="exact"/>
        <w:ind w:left="0" w:leftChars="0" w:firstLine="640" w:firstLineChars="200"/>
        <w:jc w:val="both"/>
        <w:textAlignment w:val="auto"/>
        <w:rPr>
          <w:color w:val="auto"/>
        </w:rPr>
      </w:pPr>
      <w:r>
        <w:rPr>
          <w:rFonts w:hint="eastAsia" w:ascii="楷体_GB2312" w:hAnsi="楷体_GB2312" w:eastAsia="楷体_GB2312" w:cs="楷体_GB2312"/>
          <w:b w:val="0"/>
          <w:bCs w:val="0"/>
          <w:i w:val="0"/>
          <w:caps w:val="0"/>
          <w:color w:val="auto"/>
          <w:spacing w:val="0"/>
          <w:kern w:val="2"/>
          <w:sz w:val="32"/>
          <w:szCs w:val="32"/>
          <w:highlight w:val="none"/>
          <w:shd w:val="clear" w:color="auto" w:fill="FFFFFF"/>
          <w:lang w:val="en-US" w:eastAsia="zh-CN" w:bidi="ar-SA"/>
        </w:rPr>
        <w:t>（六）林果花草蜂（5项）</w:t>
      </w:r>
    </w:p>
    <w:p w14:paraId="5F2294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 w:eastAsia="zh-CN"/>
        </w:rPr>
        <w:t>44</w:t>
      </w:r>
      <w:r>
        <w:rPr>
          <w:rFonts w:hint="eastAsia" w:ascii="仿宋_GB2312" w:hAnsi="仿宋_GB2312" w:eastAsia="仿宋_GB2312" w:cs="仿宋_GB2312"/>
          <w:color w:val="auto"/>
          <w:sz w:val="32"/>
          <w:szCs w:val="32"/>
          <w:lang w:val="en-US" w:eastAsia="zh-CN"/>
        </w:rPr>
        <w:t>.针对北京地区设施樱桃自花结实品种少、畸形果率高、配套技术不完善及丰产稳产性差等问题，重点筛选设施樱桃优新品种，开展设施环境智能调控、水肥一体化、土壤改良、斑翅果蝇等病虫害综合防控及裂果预防等关键技术研发，建立丰产、稳产、优质、高效的设施栽培技术体系，提升设施樱桃标准化栽培水平与果品商品率。</w:t>
      </w:r>
    </w:p>
    <w:p w14:paraId="04C29B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 w:eastAsia="zh"/>
        </w:rPr>
        <w:t>45</w:t>
      </w:r>
      <w:r>
        <w:rPr>
          <w:rFonts w:hint="eastAsia" w:ascii="仿宋_GB2312" w:hAnsi="仿宋_GB2312" w:eastAsia="仿宋_GB2312" w:cs="仿宋_GB2312"/>
          <w:color w:val="auto"/>
          <w:sz w:val="32"/>
          <w:szCs w:val="32"/>
          <w:lang w:val="en-US" w:eastAsia="zh-CN"/>
        </w:rPr>
        <w:t>.为解决北京地区林下空间利用不足、林下经济产业效率低下等问题，聚焦适应北京林下立地条件的百合等球根花卉，开展自育品种筛选及良种繁育、优质商品球规模化生产、品质评价等应用技术研究；在低郁闭度且立地条件良好的林地发展林下球根花卉，构建可复制推广的球根花卉标准化林下种植技术体系，打造“林下养花”产业模式，实现生态、景观、产业协同发展。</w:t>
      </w:r>
    </w:p>
    <w:p w14:paraId="6C295D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 w:eastAsia="zh"/>
        </w:rPr>
        <w:t>46</w:t>
      </w:r>
      <w:r>
        <w:rPr>
          <w:rFonts w:hint="eastAsia" w:ascii="仿宋_GB2312" w:hAnsi="仿宋_GB2312" w:eastAsia="仿宋_GB2312" w:cs="仿宋_GB2312"/>
          <w:color w:val="auto"/>
          <w:sz w:val="32"/>
          <w:szCs w:val="32"/>
          <w:lang w:val="en-US" w:eastAsia="zh-CN"/>
        </w:rPr>
        <w:t>.针对北京地区主要果树在露地生产中受极端天气影响严重、防灾减灾技术信息化水平不高等问题，通过果园小气候监测、多传感融合与大数据、智能设备等关键技术集成，开展防灾减灾技术应用与示范，打造新一代智慧果园应用场景，在京郊进行推广，提升防灾减灾水平，赋能果树产业高质量发展。</w:t>
      </w:r>
    </w:p>
    <w:p w14:paraId="57C577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
        </w:rPr>
        <w:t>4</w:t>
      </w:r>
      <w:r>
        <w:rPr>
          <w:rFonts w:hint="default" w:ascii="仿宋_GB2312" w:hAnsi="仿宋_GB2312" w:eastAsia="仿宋_GB2312" w:cs="仿宋_GB2312"/>
          <w:color w:val="auto"/>
          <w:sz w:val="32"/>
          <w:szCs w:val="32"/>
          <w:lang w:val="en" w:eastAsia="zh"/>
        </w:rPr>
        <w:t>7</w:t>
      </w:r>
      <w:r>
        <w:rPr>
          <w:rFonts w:hint="eastAsia" w:ascii="仿宋_GB2312" w:hAnsi="仿宋_GB2312" w:eastAsia="仿宋_GB2312" w:cs="仿宋_GB2312"/>
          <w:color w:val="auto"/>
          <w:sz w:val="32"/>
          <w:szCs w:val="32"/>
          <w:lang w:val="en-US" w:eastAsia="zh-CN"/>
        </w:rPr>
        <w:t>.为提高北京养蜂生产机械化水平，解决高附加值蜂产品生产供给少等问题，开展高产蜂胶良种蜂王引进及适应性评估、高效采胶和蜂王浆机械化生产技术示范推广，开发高附加值蜂胶、蜂王浆产品；构建蜜蜂养殖多元生产的标准化技术体系并示范应用；开展中华蜜蜂蜂蜜等北京特色蜂产品特征指标研究及品质评价，推动蜂业新模式、新成果在京郊落地。</w:t>
      </w:r>
    </w:p>
    <w:p w14:paraId="033A7B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 w:eastAsia="zh"/>
        </w:rPr>
        <w:t>48</w:t>
      </w:r>
      <w:r>
        <w:rPr>
          <w:rFonts w:hint="eastAsia" w:ascii="仿宋_GB2312" w:hAnsi="仿宋_GB2312" w:eastAsia="仿宋_GB2312" w:cs="仿宋_GB2312"/>
          <w:color w:val="auto"/>
          <w:sz w:val="32"/>
          <w:szCs w:val="32"/>
          <w:lang w:val="en-US" w:eastAsia="zh"/>
        </w:rPr>
        <w:t>.</w:t>
      </w:r>
      <w:r>
        <w:rPr>
          <w:rFonts w:hint="eastAsia" w:ascii="仿宋_GB2312" w:hAnsi="仿宋_GB2312" w:eastAsia="仿宋_GB2312" w:cs="仿宋_GB2312"/>
          <w:color w:val="auto"/>
          <w:sz w:val="32"/>
          <w:szCs w:val="32"/>
          <w:lang w:val="en-US" w:eastAsia="zh-CN"/>
        </w:rPr>
        <w:t>针对板栗、核桃等北京特色坚果采后极易发生霉变劣变与油脂哈败等突出问题，构建涵盖营养指标、特色风味等内容的品质评价标准体系，研发防霉抑菌、靶向抗氧化及微环境智能气调等绿色技术，集成留香护色、干制分离等加工技术，开发高品质产品，在京郊主产区示范应用，为推动特色林果产业提质增效、品牌溢价提供强有力的科技支撑。</w:t>
      </w:r>
    </w:p>
    <w:p w14:paraId="7B60312C"/>
    <w:p w14:paraId="5759CC33"/>
    <w:sectPr>
      <w:footerReference r:id="rId3" w:type="default"/>
      <w:pgSz w:w="11906" w:h="16838"/>
      <w:pgMar w:top="2098" w:right="1474" w:bottom="1984"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altName w:val="微软雅黑"/>
    <w:panose1 w:val="02000000000000000000"/>
    <w:charset w:val="86"/>
    <w:family w:val="auto"/>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4921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D09E5F2">
                          <w:pPr>
                            <w:pStyle w:val="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5D09E5F2">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D8FEE0"/>
    <w:multiLevelType w:val="singleLevel"/>
    <w:tmpl w:val="93D8FEE0"/>
    <w:lvl w:ilvl="0" w:tentative="0">
      <w:start w:val="1"/>
      <w:numFmt w:val="chineseCounting"/>
      <w:suff w:val="nothing"/>
      <w:lvlText w:val="（%1）"/>
      <w:lvlJc w:val="left"/>
      <w:rPr>
        <w:rFonts w:hint="eastAsia"/>
      </w:rPr>
    </w:lvl>
  </w:abstractNum>
  <w:abstractNum w:abstractNumId="1">
    <w:nsid w:val="AE5DD735"/>
    <w:multiLevelType w:val="singleLevel"/>
    <w:tmpl w:val="AE5DD735"/>
    <w:lvl w:ilvl="0" w:tentative="0">
      <w:start w:val="1"/>
      <w:numFmt w:val="chineseCounting"/>
      <w:suff w:val="nothing"/>
      <w:lvlText w:val="（%1）"/>
      <w:lvlJc w:val="left"/>
      <w:rPr>
        <w:rFonts w:hint="eastAsia"/>
      </w:rPr>
    </w:lvl>
  </w:abstractNum>
  <w:abstractNum w:abstractNumId="2">
    <w:nsid w:val="FDFD8F49"/>
    <w:multiLevelType w:val="singleLevel"/>
    <w:tmpl w:val="FDFD8F49"/>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5C6F86"/>
    <w:rsid w:val="4F5C6F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toc 2"/>
    <w:basedOn w:val="1"/>
    <w:next w:val="1"/>
    <w:qFormat/>
    <w:uiPriority w:val="0"/>
    <w:pPr>
      <w:ind w:left="420" w:leftChars="200"/>
    </w:pPr>
    <w:rPr>
      <w:rFonts w:ascii="Calibri" w:hAnsi="Calibri"/>
    </w:rPr>
  </w:style>
  <w:style w:type="character" w:customStyle="1" w:styleId="6">
    <w:name w:val="NormalCharacter"/>
    <w:semiHidden/>
    <w:qFormat/>
    <w:uiPriority w:val="0"/>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2026-08-28T10:10:00Z</dcterms:created>
  <dc:creator>李敏</dc:creator>
  <cp:lastModifiedBy>李敏</cp:lastModifiedBy>
  <dcterms:modified xsi:type="dcterms:W3CDTF">2026-08-28T10:11:18Z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291FF25394F34643A2EE5253821674A0_11</vt:lpwstr>
  </property>
  <property fmtid="{D5CDD505-2E9C-101B-9397-08002B2CF9AE}" pid="4" name="KSOTemplateDocerSaveRecord">
    <vt:lpwstr>eyJoZGlkIjoiMmUyYmI0NzFiOTllNTNhYjQzN2RiNmRkODVlNjNiM2QiLCJ1c2VySWQiOiIxMDYwMDc1MTc4In0=</vt:lpwstr>
  </property>
</Properties>
</file>