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17C3E8">
      <w:pPr>
        <w:spacing w:line="520" w:lineRule="exact"/>
        <w:rPr>
          <w:rFonts w:ascii="黑体" w:hAnsi="黑体" w:eastAsia="黑体" w:cs="黑体"/>
          <w:color w:val="auto"/>
          <w:sz w:val="32"/>
          <w:szCs w:val="32"/>
        </w:rPr>
      </w:pPr>
      <w:bookmarkStart w:id="1" w:name="_GoBack"/>
      <w:bookmarkEnd w:id="1"/>
      <w:r>
        <w:rPr>
          <w:rFonts w:hint="eastAsia" w:ascii="黑体" w:hAnsi="黑体" w:eastAsia="黑体" w:cs="黑体"/>
          <w:color w:val="auto"/>
          <w:sz w:val="32"/>
          <w:szCs w:val="32"/>
        </w:rPr>
        <w:t>附件</w:t>
      </w:r>
      <w:r>
        <w:rPr>
          <w:rFonts w:ascii="黑体" w:hAnsi="黑体" w:eastAsia="黑体" w:cs="黑体"/>
          <w:color w:val="auto"/>
          <w:sz w:val="32"/>
          <w:szCs w:val="32"/>
        </w:rPr>
        <w:t>6</w:t>
      </w:r>
    </w:p>
    <w:p w14:paraId="5A244EFA">
      <w:pPr>
        <w:snapToGrid w:val="0"/>
        <w:spacing w:line="52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北京市</w:t>
      </w:r>
      <w:r>
        <w:rPr>
          <w:rFonts w:hint="eastAsia" w:ascii="方正小标宋简体" w:hAnsi="方正小标宋简体" w:eastAsia="方正小标宋简体" w:cs="方正小标宋简体"/>
          <w:color w:val="auto"/>
          <w:kern w:val="0"/>
          <w:sz w:val="44"/>
          <w:szCs w:val="44"/>
        </w:rPr>
        <w:t>市级</w:t>
      </w:r>
      <w:r>
        <w:rPr>
          <w:rFonts w:hint="eastAsia" w:ascii="方正小标宋简体" w:hAnsi="方正小标宋简体" w:eastAsia="方正小标宋简体" w:cs="方正小标宋简体"/>
          <w:color w:val="auto"/>
          <w:sz w:val="44"/>
          <w:szCs w:val="44"/>
        </w:rPr>
        <w:t>植物病原微生物种质资源库考评表</w:t>
      </w:r>
    </w:p>
    <w:p w14:paraId="1CEE4752">
      <w:pPr>
        <w:pStyle w:val="2"/>
        <w:keepNext w:val="0"/>
        <w:keepLines w:val="0"/>
        <w:pageBreakBefore w:val="0"/>
        <w:widowControl w:val="0"/>
        <w:kinsoku/>
        <w:wordWrap/>
        <w:overflowPunct/>
        <w:topLinePunct w:val="0"/>
        <w:autoSpaceDE/>
        <w:autoSpaceDN/>
        <w:bidi w:val="0"/>
        <w:adjustRightInd/>
        <w:snapToGrid/>
        <w:spacing w:after="0"/>
        <w:textAlignment w:val="auto"/>
      </w:pPr>
    </w:p>
    <w:tbl>
      <w:tblPr>
        <w:tblStyle w:val="3"/>
        <w:tblpPr w:leftFromText="180" w:rightFromText="180" w:vertAnchor="text" w:tblpXSpec="center" w:tblpY="1"/>
        <w:tblOverlap w:val="never"/>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30"/>
        <w:gridCol w:w="630"/>
        <w:gridCol w:w="2730"/>
        <w:gridCol w:w="1020"/>
        <w:gridCol w:w="1320"/>
        <w:gridCol w:w="855"/>
        <w:gridCol w:w="165"/>
        <w:gridCol w:w="376"/>
        <w:gridCol w:w="705"/>
      </w:tblGrid>
      <w:tr w14:paraId="1735B8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27" w:hRule="atLeast"/>
          <w:jc w:val="center"/>
        </w:trPr>
        <w:tc>
          <w:tcPr>
            <w:tcW w:w="1260" w:type="dxa"/>
            <w:gridSpan w:val="2"/>
            <w:noWrap w:val="0"/>
            <w:vAlign w:val="center"/>
          </w:tcPr>
          <w:p w14:paraId="5AD4F90E">
            <w:pPr>
              <w:autoSpaceDE w:val="0"/>
              <w:autoSpaceDN w:val="0"/>
              <w:spacing w:line="260" w:lineRule="exact"/>
              <w:jc w:val="center"/>
              <w:rPr>
                <w:color w:val="auto"/>
                <w:szCs w:val="21"/>
              </w:rPr>
            </w:pPr>
            <w:r>
              <w:rPr>
                <w:rFonts w:hint="eastAsia" w:ascii="黑体" w:hAnsi="黑体" w:eastAsia="黑体" w:cs="黑体"/>
                <w:bCs/>
                <w:color w:val="auto"/>
                <w:kern w:val="0"/>
                <w:sz w:val="24"/>
              </w:rPr>
              <w:t>被考评单位</w:t>
            </w:r>
          </w:p>
        </w:tc>
        <w:tc>
          <w:tcPr>
            <w:tcW w:w="2730" w:type="dxa"/>
            <w:noWrap w:val="0"/>
            <w:vAlign w:val="center"/>
          </w:tcPr>
          <w:p w14:paraId="3A639E87">
            <w:pPr>
              <w:autoSpaceDE w:val="0"/>
              <w:autoSpaceDN w:val="0"/>
              <w:spacing w:line="260" w:lineRule="exact"/>
              <w:rPr>
                <w:color w:val="auto"/>
                <w:szCs w:val="21"/>
              </w:rPr>
            </w:pPr>
          </w:p>
        </w:tc>
        <w:tc>
          <w:tcPr>
            <w:tcW w:w="1020" w:type="dxa"/>
            <w:noWrap w:val="0"/>
            <w:vAlign w:val="center"/>
          </w:tcPr>
          <w:p w14:paraId="285F1B67">
            <w:pPr>
              <w:autoSpaceDE w:val="0"/>
              <w:autoSpaceDN w:val="0"/>
              <w:spacing w:line="260" w:lineRule="exact"/>
              <w:jc w:val="center"/>
              <w:rPr>
                <w:color w:val="auto"/>
                <w:szCs w:val="21"/>
              </w:rPr>
            </w:pPr>
            <w:r>
              <w:rPr>
                <w:rFonts w:hint="eastAsia" w:ascii="黑体" w:hAnsi="黑体" w:eastAsia="黑体" w:cs="黑体"/>
                <w:bCs/>
                <w:color w:val="auto"/>
                <w:kern w:val="0"/>
                <w:sz w:val="24"/>
              </w:rPr>
              <w:t>专家签字</w:t>
            </w:r>
          </w:p>
        </w:tc>
        <w:tc>
          <w:tcPr>
            <w:tcW w:w="1320" w:type="dxa"/>
            <w:noWrap w:val="0"/>
            <w:vAlign w:val="center"/>
          </w:tcPr>
          <w:p w14:paraId="67F0D624">
            <w:pPr>
              <w:autoSpaceDE w:val="0"/>
              <w:autoSpaceDN w:val="0"/>
              <w:spacing w:line="260" w:lineRule="exact"/>
              <w:jc w:val="center"/>
              <w:rPr>
                <w:color w:val="auto"/>
                <w:szCs w:val="21"/>
              </w:rPr>
            </w:pPr>
          </w:p>
        </w:tc>
        <w:tc>
          <w:tcPr>
            <w:tcW w:w="1020" w:type="dxa"/>
            <w:gridSpan w:val="2"/>
            <w:noWrap w:val="0"/>
            <w:vAlign w:val="center"/>
          </w:tcPr>
          <w:p w14:paraId="3AA635CA">
            <w:pPr>
              <w:autoSpaceDE w:val="0"/>
              <w:autoSpaceDN w:val="0"/>
              <w:spacing w:line="260" w:lineRule="exact"/>
              <w:jc w:val="center"/>
              <w:rPr>
                <w:color w:val="auto"/>
                <w:szCs w:val="21"/>
              </w:rPr>
            </w:pPr>
            <w:r>
              <w:rPr>
                <w:rFonts w:hint="eastAsia" w:ascii="黑体" w:hAnsi="黑体" w:eastAsia="黑体" w:cs="黑体"/>
                <w:bCs/>
                <w:color w:val="auto"/>
                <w:kern w:val="0"/>
                <w:sz w:val="24"/>
              </w:rPr>
              <w:t>填表日期</w:t>
            </w:r>
          </w:p>
        </w:tc>
        <w:tc>
          <w:tcPr>
            <w:tcW w:w="1081" w:type="dxa"/>
            <w:gridSpan w:val="2"/>
            <w:noWrap w:val="0"/>
            <w:vAlign w:val="top"/>
          </w:tcPr>
          <w:p w14:paraId="5F0B6A47">
            <w:pPr>
              <w:autoSpaceDE w:val="0"/>
              <w:autoSpaceDN w:val="0"/>
              <w:spacing w:line="260" w:lineRule="exact"/>
              <w:ind w:firstLine="105" w:firstLineChars="50"/>
              <w:rPr>
                <w:color w:val="auto"/>
                <w:szCs w:val="21"/>
              </w:rPr>
            </w:pPr>
          </w:p>
        </w:tc>
      </w:tr>
      <w:tr w14:paraId="69BC4E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7726" w:type="dxa"/>
            <w:gridSpan w:val="8"/>
            <w:noWrap w:val="0"/>
            <w:vAlign w:val="center"/>
          </w:tcPr>
          <w:p w14:paraId="4B1254B3">
            <w:pPr>
              <w:jc w:val="center"/>
              <w:rPr>
                <w:color w:val="auto"/>
                <w:sz w:val="24"/>
              </w:rPr>
            </w:pPr>
            <w:r>
              <w:rPr>
                <w:rFonts w:eastAsia="黑体"/>
                <w:bCs/>
                <w:color w:val="auto"/>
                <w:sz w:val="24"/>
              </w:rPr>
              <w:t>按以下标准评分（共</w:t>
            </w:r>
            <w:r>
              <w:rPr>
                <w:rFonts w:hint="eastAsia" w:eastAsia="黑体"/>
                <w:bCs/>
                <w:color w:val="auto"/>
                <w:sz w:val="24"/>
              </w:rPr>
              <w:t>25</w:t>
            </w:r>
            <w:r>
              <w:rPr>
                <w:rFonts w:eastAsia="黑体"/>
                <w:bCs/>
                <w:color w:val="auto"/>
                <w:sz w:val="24"/>
              </w:rPr>
              <w:t>项）</w:t>
            </w:r>
          </w:p>
        </w:tc>
        <w:tc>
          <w:tcPr>
            <w:tcW w:w="705" w:type="dxa"/>
            <w:noWrap w:val="0"/>
            <w:vAlign w:val="top"/>
          </w:tcPr>
          <w:p w14:paraId="76A87746">
            <w:pPr>
              <w:spacing w:line="220" w:lineRule="exact"/>
              <w:jc w:val="center"/>
              <w:rPr>
                <w:color w:val="auto"/>
                <w:sz w:val="30"/>
                <w:szCs w:val="30"/>
              </w:rPr>
            </w:pPr>
          </w:p>
        </w:tc>
      </w:tr>
      <w:tr w14:paraId="3BE9D3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30" w:type="dxa"/>
            <w:noWrap w:val="0"/>
            <w:vAlign w:val="center"/>
          </w:tcPr>
          <w:p w14:paraId="66115B10">
            <w:pPr>
              <w:spacing w:line="220" w:lineRule="exact"/>
              <w:jc w:val="center"/>
              <w:rPr>
                <w:rFonts w:eastAsia="黑体"/>
                <w:color w:val="auto"/>
                <w:szCs w:val="21"/>
              </w:rPr>
            </w:pPr>
            <w:r>
              <w:rPr>
                <w:rFonts w:eastAsia="黑体"/>
                <w:color w:val="auto"/>
                <w:szCs w:val="21"/>
              </w:rPr>
              <w:t>考评</w:t>
            </w:r>
          </w:p>
          <w:p w14:paraId="12AF1B54">
            <w:pPr>
              <w:spacing w:line="220" w:lineRule="exact"/>
              <w:jc w:val="center"/>
              <w:rPr>
                <w:rFonts w:eastAsia="黑体"/>
                <w:color w:val="auto"/>
                <w:szCs w:val="21"/>
              </w:rPr>
            </w:pPr>
            <w:r>
              <w:rPr>
                <w:rFonts w:eastAsia="黑体"/>
                <w:color w:val="auto"/>
                <w:szCs w:val="21"/>
              </w:rPr>
              <w:t>项目</w:t>
            </w:r>
          </w:p>
        </w:tc>
        <w:tc>
          <w:tcPr>
            <w:tcW w:w="6555" w:type="dxa"/>
            <w:gridSpan w:val="5"/>
            <w:noWrap w:val="0"/>
            <w:vAlign w:val="center"/>
          </w:tcPr>
          <w:p w14:paraId="572FA353">
            <w:pPr>
              <w:spacing w:line="220" w:lineRule="exact"/>
              <w:jc w:val="center"/>
              <w:rPr>
                <w:rFonts w:eastAsia="黑体"/>
                <w:color w:val="auto"/>
                <w:szCs w:val="21"/>
              </w:rPr>
            </w:pPr>
            <w:r>
              <w:rPr>
                <w:rFonts w:eastAsia="黑体"/>
                <w:color w:val="auto"/>
                <w:szCs w:val="21"/>
              </w:rPr>
              <w:t>具体考核指标</w:t>
            </w:r>
          </w:p>
        </w:tc>
        <w:tc>
          <w:tcPr>
            <w:tcW w:w="541" w:type="dxa"/>
            <w:gridSpan w:val="2"/>
            <w:noWrap w:val="0"/>
            <w:vAlign w:val="center"/>
          </w:tcPr>
          <w:p w14:paraId="2E0FD562">
            <w:pPr>
              <w:spacing w:line="220" w:lineRule="exact"/>
              <w:jc w:val="center"/>
              <w:rPr>
                <w:rFonts w:eastAsia="黑体"/>
                <w:color w:val="auto"/>
                <w:szCs w:val="21"/>
              </w:rPr>
            </w:pPr>
            <w:r>
              <w:rPr>
                <w:rFonts w:eastAsia="黑体"/>
                <w:color w:val="auto"/>
                <w:szCs w:val="21"/>
              </w:rPr>
              <w:t>分值</w:t>
            </w:r>
          </w:p>
        </w:tc>
        <w:tc>
          <w:tcPr>
            <w:tcW w:w="705" w:type="dxa"/>
            <w:noWrap w:val="0"/>
            <w:vAlign w:val="center"/>
          </w:tcPr>
          <w:p w14:paraId="592E47F4">
            <w:pPr>
              <w:spacing w:line="220" w:lineRule="exact"/>
              <w:jc w:val="center"/>
              <w:rPr>
                <w:rFonts w:eastAsia="黑体"/>
                <w:color w:val="auto"/>
                <w:szCs w:val="21"/>
              </w:rPr>
            </w:pPr>
            <w:r>
              <w:rPr>
                <w:rFonts w:eastAsia="黑体"/>
                <w:color w:val="auto"/>
                <w:szCs w:val="21"/>
              </w:rPr>
              <w:t>得分</w:t>
            </w:r>
          </w:p>
        </w:tc>
      </w:tr>
      <w:tr w14:paraId="5887F4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30" w:type="dxa"/>
            <w:vMerge w:val="restart"/>
            <w:noWrap w:val="0"/>
            <w:tcMar>
              <w:top w:w="0" w:type="dxa"/>
              <w:left w:w="0" w:type="dxa"/>
              <w:bottom w:w="0" w:type="dxa"/>
              <w:right w:w="0" w:type="dxa"/>
            </w:tcMar>
            <w:vAlign w:val="center"/>
          </w:tcPr>
          <w:p w14:paraId="44035D21">
            <w:pPr>
              <w:spacing w:line="300" w:lineRule="exact"/>
              <w:jc w:val="center"/>
              <w:rPr>
                <w:rFonts w:hint="eastAsia" w:ascii="宋体" w:hAnsi="宋体" w:cs="宋体"/>
                <w:color w:val="auto"/>
                <w:szCs w:val="21"/>
              </w:rPr>
            </w:pPr>
          </w:p>
          <w:p w14:paraId="02957DE5">
            <w:pPr>
              <w:adjustRightInd w:val="0"/>
              <w:snapToGrid w:val="0"/>
              <w:jc w:val="center"/>
              <w:rPr>
                <w:rFonts w:hint="eastAsia" w:ascii="宋体" w:hAnsi="宋体" w:cs="宋体"/>
                <w:b/>
                <w:bCs/>
                <w:color w:val="auto"/>
                <w:szCs w:val="21"/>
              </w:rPr>
            </w:pPr>
            <w:r>
              <w:rPr>
                <w:rFonts w:hint="eastAsia" w:ascii="宋体" w:hAnsi="宋体" w:cs="宋体"/>
                <w:b/>
                <w:bCs/>
                <w:color w:val="auto"/>
                <w:szCs w:val="21"/>
              </w:rPr>
              <w:t>基</w:t>
            </w:r>
          </w:p>
          <w:p w14:paraId="5A225677">
            <w:pPr>
              <w:adjustRightInd w:val="0"/>
              <w:snapToGrid w:val="0"/>
              <w:jc w:val="center"/>
              <w:rPr>
                <w:rFonts w:hint="eastAsia" w:ascii="宋体" w:hAnsi="宋体" w:cs="宋体"/>
                <w:b/>
                <w:bCs/>
                <w:color w:val="auto"/>
                <w:szCs w:val="21"/>
              </w:rPr>
            </w:pPr>
            <w:r>
              <w:rPr>
                <w:rFonts w:hint="eastAsia" w:ascii="宋体" w:hAnsi="宋体" w:cs="宋体"/>
                <w:b/>
                <w:bCs/>
                <w:color w:val="auto"/>
                <w:szCs w:val="21"/>
              </w:rPr>
              <w:t>础</w:t>
            </w:r>
          </w:p>
          <w:p w14:paraId="458FDED3">
            <w:pPr>
              <w:adjustRightInd w:val="0"/>
              <w:snapToGrid w:val="0"/>
              <w:jc w:val="center"/>
              <w:rPr>
                <w:rFonts w:hint="eastAsia" w:ascii="宋体" w:hAnsi="宋体" w:cs="宋体"/>
                <w:b/>
                <w:bCs/>
                <w:color w:val="auto"/>
                <w:szCs w:val="21"/>
              </w:rPr>
            </w:pPr>
            <w:r>
              <w:rPr>
                <w:rFonts w:hint="eastAsia" w:ascii="宋体" w:hAnsi="宋体" w:cs="宋体"/>
                <w:b/>
                <w:bCs/>
                <w:color w:val="auto"/>
                <w:szCs w:val="21"/>
              </w:rPr>
              <w:t>条</w:t>
            </w:r>
          </w:p>
          <w:p w14:paraId="345FA117">
            <w:pPr>
              <w:adjustRightInd w:val="0"/>
              <w:snapToGrid w:val="0"/>
              <w:jc w:val="center"/>
              <w:rPr>
                <w:rFonts w:hint="eastAsia" w:ascii="宋体" w:hAnsi="宋体" w:cs="宋体"/>
                <w:b/>
                <w:bCs/>
                <w:color w:val="auto"/>
                <w:szCs w:val="21"/>
              </w:rPr>
            </w:pPr>
            <w:r>
              <w:rPr>
                <w:rFonts w:hint="eastAsia" w:ascii="宋体" w:hAnsi="宋体" w:cs="宋体"/>
                <w:b/>
                <w:bCs/>
                <w:color w:val="auto"/>
                <w:szCs w:val="21"/>
              </w:rPr>
              <w:t>件</w:t>
            </w:r>
          </w:p>
          <w:p w14:paraId="586DEB95">
            <w:pPr>
              <w:adjustRightInd w:val="0"/>
              <w:snapToGrid w:val="0"/>
              <w:jc w:val="center"/>
              <w:rPr>
                <w:rFonts w:hint="eastAsia" w:ascii="宋体" w:hAnsi="宋体" w:cs="宋体"/>
                <w:b/>
                <w:bCs/>
                <w:color w:val="auto"/>
                <w:szCs w:val="21"/>
              </w:rPr>
            </w:pPr>
            <w:r>
              <w:rPr>
                <w:rFonts w:hint="eastAsia" w:ascii="宋体" w:hAnsi="宋体" w:cs="宋体"/>
                <w:b/>
                <w:bCs/>
                <w:color w:val="auto"/>
                <w:szCs w:val="21"/>
              </w:rPr>
              <w:t>（40）</w:t>
            </w:r>
          </w:p>
          <w:p w14:paraId="7743AC36">
            <w:pPr>
              <w:adjustRightInd w:val="0"/>
              <w:snapToGrid w:val="0"/>
              <w:jc w:val="center"/>
              <w:rPr>
                <w:rFonts w:hint="eastAsia" w:ascii="宋体" w:hAnsi="宋体" w:cs="宋体"/>
                <w:b/>
                <w:bCs/>
                <w:color w:val="auto"/>
                <w:szCs w:val="21"/>
              </w:rPr>
            </w:pPr>
            <w:r>
              <w:rPr>
                <w:rFonts w:hint="eastAsia" w:ascii="宋体" w:hAnsi="宋体" w:cs="宋体"/>
                <w:b/>
                <w:bCs/>
                <w:color w:val="auto"/>
                <w:szCs w:val="21"/>
              </w:rPr>
              <w:t>分</w:t>
            </w:r>
          </w:p>
          <w:p w14:paraId="616FB460">
            <w:pPr>
              <w:adjustRightInd w:val="0"/>
              <w:snapToGrid w:val="0"/>
              <w:jc w:val="center"/>
              <w:rPr>
                <w:rFonts w:hint="eastAsia" w:ascii="宋体" w:hAnsi="宋体" w:cs="宋体"/>
                <w:color w:val="auto"/>
                <w:szCs w:val="21"/>
              </w:rPr>
            </w:pPr>
          </w:p>
        </w:tc>
        <w:tc>
          <w:tcPr>
            <w:tcW w:w="6555" w:type="dxa"/>
            <w:gridSpan w:val="5"/>
            <w:noWrap w:val="0"/>
            <w:vAlign w:val="center"/>
          </w:tcPr>
          <w:p w14:paraId="4E5DDCDB">
            <w:pPr>
              <w:pStyle w:val="5"/>
              <w:snapToGrid w:val="0"/>
              <w:spacing w:beforeLines="0" w:afterLines="0" w:line="340" w:lineRule="exact"/>
              <w:ind w:left="105" w:leftChars="50" w:firstLine="0" w:firstLineChars="0"/>
              <w:rPr>
                <w:rFonts w:hint="eastAsia" w:ascii="宋体" w:hAnsi="宋体" w:cs="宋体"/>
                <w:color w:val="auto"/>
                <w:szCs w:val="21"/>
              </w:rPr>
            </w:pPr>
            <w:r>
              <w:rPr>
                <w:rFonts w:hint="eastAsia" w:ascii="宋体" w:hAnsi="宋体" w:cs="宋体"/>
                <w:color w:val="auto"/>
                <w:szCs w:val="21"/>
              </w:rPr>
              <w:t>1.具备微生物保藏冷库等设施面积不小于10m</w:t>
            </w:r>
            <w:r>
              <w:rPr>
                <w:rFonts w:hint="eastAsia" w:ascii="宋体" w:hAnsi="宋体" w:cs="宋体"/>
                <w:color w:val="auto"/>
                <w:szCs w:val="21"/>
                <w:vertAlign w:val="superscript"/>
              </w:rPr>
              <w:t>2</w:t>
            </w:r>
            <w:r>
              <w:rPr>
                <w:rFonts w:hint="eastAsia" w:ascii="宋体" w:hAnsi="宋体" w:cs="宋体"/>
                <w:color w:val="auto"/>
                <w:szCs w:val="21"/>
              </w:rPr>
              <w:t>。</w:t>
            </w:r>
          </w:p>
        </w:tc>
        <w:tc>
          <w:tcPr>
            <w:tcW w:w="541" w:type="dxa"/>
            <w:gridSpan w:val="2"/>
            <w:noWrap w:val="0"/>
            <w:vAlign w:val="center"/>
          </w:tcPr>
          <w:p w14:paraId="6D98E201">
            <w:pPr>
              <w:spacing w:line="220" w:lineRule="exact"/>
              <w:jc w:val="center"/>
              <w:rPr>
                <w:rFonts w:hint="eastAsia" w:ascii="宋体" w:hAnsi="宋体" w:cs="宋体"/>
                <w:color w:val="auto"/>
                <w:szCs w:val="21"/>
              </w:rPr>
            </w:pPr>
            <w:r>
              <w:rPr>
                <w:rFonts w:hint="eastAsia" w:ascii="宋体" w:hAnsi="宋体" w:cs="宋体"/>
                <w:color w:val="auto"/>
                <w:szCs w:val="21"/>
              </w:rPr>
              <w:t>5</w:t>
            </w:r>
          </w:p>
        </w:tc>
        <w:tc>
          <w:tcPr>
            <w:tcW w:w="705" w:type="dxa"/>
            <w:noWrap w:val="0"/>
            <w:vAlign w:val="top"/>
          </w:tcPr>
          <w:p w14:paraId="74EF1FFB">
            <w:pPr>
              <w:spacing w:line="220" w:lineRule="exact"/>
              <w:jc w:val="center"/>
              <w:rPr>
                <w:rFonts w:hint="eastAsia" w:ascii="宋体" w:hAnsi="宋体" w:cs="宋体"/>
                <w:color w:val="auto"/>
                <w:sz w:val="30"/>
                <w:szCs w:val="30"/>
              </w:rPr>
            </w:pPr>
          </w:p>
        </w:tc>
      </w:tr>
      <w:tr w14:paraId="0D1462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30" w:type="dxa"/>
            <w:vMerge w:val="continue"/>
            <w:noWrap w:val="0"/>
            <w:textDirection w:val="tbRlV"/>
            <w:vAlign w:val="center"/>
          </w:tcPr>
          <w:p w14:paraId="3357A55C">
            <w:pPr>
              <w:spacing w:line="220" w:lineRule="exact"/>
              <w:ind w:left="113" w:right="113"/>
              <w:jc w:val="center"/>
              <w:rPr>
                <w:rFonts w:hint="eastAsia" w:ascii="宋体" w:hAnsi="宋体" w:cs="宋体"/>
                <w:color w:val="auto"/>
                <w:szCs w:val="21"/>
              </w:rPr>
            </w:pPr>
          </w:p>
        </w:tc>
        <w:tc>
          <w:tcPr>
            <w:tcW w:w="6555" w:type="dxa"/>
            <w:gridSpan w:val="5"/>
            <w:noWrap w:val="0"/>
            <w:vAlign w:val="center"/>
          </w:tcPr>
          <w:p w14:paraId="0EB2432C">
            <w:pPr>
              <w:pStyle w:val="5"/>
              <w:snapToGrid w:val="0"/>
              <w:spacing w:beforeLines="0" w:afterLines="0" w:line="340" w:lineRule="exact"/>
              <w:ind w:left="105" w:leftChars="50" w:firstLine="0" w:firstLineChars="0"/>
              <w:rPr>
                <w:rFonts w:hint="eastAsia" w:ascii="宋体" w:hAnsi="宋体" w:cs="宋体"/>
                <w:color w:val="auto"/>
                <w:szCs w:val="21"/>
              </w:rPr>
            </w:pPr>
            <w:r>
              <w:rPr>
                <w:rFonts w:hint="eastAsia" w:ascii="宋体" w:hAnsi="宋体" w:cs="宋体"/>
                <w:color w:val="auto"/>
                <w:szCs w:val="21"/>
              </w:rPr>
              <w:t>2.具备超净工作台、生化培养箱、显微镜等设备，保障微生物菌种分离、观察和常规培养条件。</w:t>
            </w:r>
          </w:p>
        </w:tc>
        <w:tc>
          <w:tcPr>
            <w:tcW w:w="541" w:type="dxa"/>
            <w:gridSpan w:val="2"/>
            <w:noWrap w:val="0"/>
            <w:vAlign w:val="center"/>
          </w:tcPr>
          <w:p w14:paraId="2CC5E0BD">
            <w:pPr>
              <w:spacing w:line="220" w:lineRule="exact"/>
              <w:jc w:val="center"/>
              <w:rPr>
                <w:rFonts w:hint="eastAsia" w:ascii="宋体" w:hAnsi="宋体" w:cs="宋体"/>
                <w:color w:val="auto"/>
                <w:szCs w:val="21"/>
              </w:rPr>
            </w:pPr>
            <w:r>
              <w:rPr>
                <w:rFonts w:hint="eastAsia" w:ascii="宋体" w:hAnsi="宋体" w:cs="宋体"/>
                <w:color w:val="auto"/>
                <w:szCs w:val="21"/>
              </w:rPr>
              <w:t>5</w:t>
            </w:r>
          </w:p>
        </w:tc>
        <w:tc>
          <w:tcPr>
            <w:tcW w:w="705" w:type="dxa"/>
            <w:noWrap w:val="0"/>
            <w:vAlign w:val="top"/>
          </w:tcPr>
          <w:p w14:paraId="51B8DDF2">
            <w:pPr>
              <w:spacing w:line="220" w:lineRule="exact"/>
              <w:jc w:val="center"/>
              <w:rPr>
                <w:rFonts w:hint="eastAsia" w:ascii="宋体" w:hAnsi="宋体" w:cs="宋体"/>
                <w:color w:val="auto"/>
                <w:sz w:val="30"/>
                <w:szCs w:val="30"/>
              </w:rPr>
            </w:pPr>
          </w:p>
        </w:tc>
      </w:tr>
      <w:tr w14:paraId="55037E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30" w:type="dxa"/>
            <w:vMerge w:val="continue"/>
            <w:noWrap w:val="0"/>
            <w:textDirection w:val="tbRlV"/>
            <w:vAlign w:val="center"/>
          </w:tcPr>
          <w:p w14:paraId="3EC8AC0F">
            <w:pPr>
              <w:spacing w:line="220" w:lineRule="exact"/>
              <w:ind w:left="113" w:right="113"/>
              <w:jc w:val="center"/>
              <w:rPr>
                <w:rFonts w:hint="eastAsia" w:ascii="宋体" w:hAnsi="宋体" w:cs="宋体"/>
                <w:color w:val="auto"/>
                <w:szCs w:val="21"/>
              </w:rPr>
            </w:pPr>
          </w:p>
        </w:tc>
        <w:tc>
          <w:tcPr>
            <w:tcW w:w="6555" w:type="dxa"/>
            <w:gridSpan w:val="5"/>
            <w:noWrap w:val="0"/>
            <w:vAlign w:val="center"/>
          </w:tcPr>
          <w:p w14:paraId="5DA1A60B">
            <w:pPr>
              <w:pStyle w:val="5"/>
              <w:snapToGrid w:val="0"/>
              <w:spacing w:beforeLines="0" w:afterLines="0" w:line="340" w:lineRule="exact"/>
              <w:ind w:left="105" w:leftChars="50" w:firstLine="0" w:firstLineChars="0"/>
              <w:rPr>
                <w:rFonts w:hint="eastAsia" w:ascii="宋体" w:hAnsi="宋体" w:cs="宋体"/>
                <w:color w:val="auto"/>
                <w:szCs w:val="21"/>
              </w:rPr>
            </w:pPr>
            <w:r>
              <w:rPr>
                <w:rFonts w:hint="eastAsia" w:ascii="宋体" w:hAnsi="宋体" w:cs="宋体"/>
                <w:color w:val="auto"/>
                <w:szCs w:val="21"/>
              </w:rPr>
              <w:t>3.具备4℃冷藏箱、-80℃超低温冰箱等硬件设备，满足微生物种质资源多种保藏需求。</w:t>
            </w:r>
          </w:p>
        </w:tc>
        <w:tc>
          <w:tcPr>
            <w:tcW w:w="541" w:type="dxa"/>
            <w:gridSpan w:val="2"/>
            <w:noWrap w:val="0"/>
            <w:vAlign w:val="center"/>
          </w:tcPr>
          <w:p w14:paraId="2E87C2B6">
            <w:pPr>
              <w:spacing w:line="220" w:lineRule="exact"/>
              <w:jc w:val="center"/>
              <w:rPr>
                <w:rFonts w:hint="eastAsia" w:ascii="宋体" w:hAnsi="宋体" w:cs="宋体"/>
                <w:color w:val="auto"/>
                <w:szCs w:val="21"/>
              </w:rPr>
            </w:pPr>
            <w:r>
              <w:rPr>
                <w:rFonts w:hint="eastAsia" w:ascii="宋体" w:hAnsi="宋体" w:cs="宋体"/>
                <w:color w:val="auto"/>
                <w:szCs w:val="21"/>
              </w:rPr>
              <w:t>5</w:t>
            </w:r>
          </w:p>
        </w:tc>
        <w:tc>
          <w:tcPr>
            <w:tcW w:w="705" w:type="dxa"/>
            <w:noWrap w:val="0"/>
            <w:vAlign w:val="top"/>
          </w:tcPr>
          <w:p w14:paraId="77609DC5">
            <w:pPr>
              <w:spacing w:line="220" w:lineRule="exact"/>
              <w:jc w:val="center"/>
              <w:rPr>
                <w:rFonts w:hint="eastAsia" w:ascii="宋体" w:hAnsi="宋体" w:cs="宋体"/>
                <w:color w:val="auto"/>
                <w:sz w:val="30"/>
                <w:szCs w:val="30"/>
              </w:rPr>
            </w:pPr>
          </w:p>
        </w:tc>
      </w:tr>
      <w:tr w14:paraId="62B17F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30" w:type="dxa"/>
            <w:vMerge w:val="continue"/>
            <w:noWrap w:val="0"/>
            <w:textDirection w:val="tbRlV"/>
            <w:vAlign w:val="center"/>
          </w:tcPr>
          <w:p w14:paraId="24640632">
            <w:pPr>
              <w:spacing w:line="220" w:lineRule="exact"/>
              <w:ind w:left="113" w:right="113"/>
              <w:jc w:val="center"/>
              <w:rPr>
                <w:rFonts w:hint="eastAsia" w:ascii="宋体" w:hAnsi="宋体" w:cs="宋体"/>
                <w:color w:val="auto"/>
                <w:szCs w:val="21"/>
              </w:rPr>
            </w:pPr>
          </w:p>
        </w:tc>
        <w:tc>
          <w:tcPr>
            <w:tcW w:w="6555" w:type="dxa"/>
            <w:gridSpan w:val="5"/>
            <w:noWrap w:val="0"/>
            <w:vAlign w:val="center"/>
          </w:tcPr>
          <w:p w14:paraId="1E97D0CC">
            <w:pPr>
              <w:pStyle w:val="5"/>
              <w:snapToGrid w:val="0"/>
              <w:spacing w:beforeLines="0" w:afterLines="0" w:line="340" w:lineRule="exact"/>
              <w:ind w:left="105" w:leftChars="50" w:firstLine="0" w:firstLineChars="0"/>
              <w:rPr>
                <w:rFonts w:hint="eastAsia" w:ascii="宋体" w:hAnsi="宋体" w:cs="宋体"/>
                <w:color w:val="auto"/>
                <w:szCs w:val="21"/>
              </w:rPr>
            </w:pPr>
            <w:r>
              <w:rPr>
                <w:rFonts w:hint="eastAsia" w:ascii="宋体" w:hAnsi="宋体" w:cs="宋体"/>
                <w:color w:val="auto"/>
                <w:szCs w:val="21"/>
              </w:rPr>
              <w:t>4.配备微生物种质资源评价接种室、温室，面积不小于50m</w:t>
            </w:r>
            <w:r>
              <w:rPr>
                <w:rFonts w:hint="eastAsia" w:ascii="宋体" w:hAnsi="宋体" w:cs="宋体"/>
                <w:color w:val="auto"/>
                <w:szCs w:val="21"/>
                <w:vertAlign w:val="superscript"/>
              </w:rPr>
              <w:t>2</w:t>
            </w:r>
            <w:r>
              <w:rPr>
                <w:rFonts w:hint="eastAsia" w:ascii="宋体" w:hAnsi="宋体" w:cs="宋体"/>
                <w:color w:val="auto"/>
                <w:szCs w:val="21"/>
              </w:rPr>
              <w:t>。</w:t>
            </w:r>
          </w:p>
        </w:tc>
        <w:tc>
          <w:tcPr>
            <w:tcW w:w="541" w:type="dxa"/>
            <w:gridSpan w:val="2"/>
            <w:noWrap w:val="0"/>
            <w:vAlign w:val="center"/>
          </w:tcPr>
          <w:p w14:paraId="59453446">
            <w:pPr>
              <w:spacing w:line="220" w:lineRule="exact"/>
              <w:jc w:val="center"/>
              <w:rPr>
                <w:rFonts w:hint="eastAsia" w:ascii="宋体" w:hAnsi="宋体" w:cs="宋体"/>
                <w:color w:val="auto"/>
                <w:szCs w:val="21"/>
              </w:rPr>
            </w:pPr>
            <w:r>
              <w:rPr>
                <w:rFonts w:hint="eastAsia" w:ascii="宋体" w:hAnsi="宋体" w:cs="宋体"/>
                <w:color w:val="auto"/>
                <w:szCs w:val="21"/>
              </w:rPr>
              <w:t>5</w:t>
            </w:r>
          </w:p>
        </w:tc>
        <w:tc>
          <w:tcPr>
            <w:tcW w:w="705" w:type="dxa"/>
            <w:noWrap w:val="0"/>
            <w:vAlign w:val="top"/>
          </w:tcPr>
          <w:p w14:paraId="16059882">
            <w:pPr>
              <w:spacing w:line="220" w:lineRule="exact"/>
              <w:jc w:val="center"/>
              <w:rPr>
                <w:rFonts w:hint="eastAsia" w:ascii="宋体" w:hAnsi="宋体" w:cs="宋体"/>
                <w:color w:val="auto"/>
                <w:sz w:val="30"/>
                <w:szCs w:val="30"/>
              </w:rPr>
            </w:pPr>
          </w:p>
        </w:tc>
      </w:tr>
      <w:tr w14:paraId="0C086D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30" w:type="dxa"/>
            <w:vMerge w:val="continue"/>
            <w:noWrap w:val="0"/>
            <w:textDirection w:val="tbRlV"/>
            <w:vAlign w:val="center"/>
          </w:tcPr>
          <w:p w14:paraId="6C55BE55">
            <w:pPr>
              <w:spacing w:line="220" w:lineRule="exact"/>
              <w:ind w:left="113" w:right="113"/>
              <w:jc w:val="center"/>
              <w:rPr>
                <w:rFonts w:hint="eastAsia" w:ascii="宋体" w:hAnsi="宋体" w:cs="宋体"/>
                <w:color w:val="auto"/>
                <w:szCs w:val="21"/>
              </w:rPr>
            </w:pPr>
          </w:p>
        </w:tc>
        <w:tc>
          <w:tcPr>
            <w:tcW w:w="6555" w:type="dxa"/>
            <w:gridSpan w:val="5"/>
            <w:noWrap w:val="0"/>
            <w:vAlign w:val="center"/>
          </w:tcPr>
          <w:p w14:paraId="211E1231">
            <w:pPr>
              <w:pStyle w:val="5"/>
              <w:snapToGrid w:val="0"/>
              <w:spacing w:beforeLines="0" w:afterLines="0" w:line="340" w:lineRule="exact"/>
              <w:ind w:left="105" w:leftChars="50" w:firstLine="0" w:firstLineChars="0"/>
              <w:rPr>
                <w:rFonts w:hint="eastAsia" w:ascii="宋体" w:hAnsi="宋体" w:cs="宋体"/>
                <w:color w:val="auto"/>
                <w:szCs w:val="21"/>
              </w:rPr>
            </w:pPr>
            <w:r>
              <w:rPr>
                <w:rFonts w:hint="eastAsia" w:ascii="宋体" w:hAnsi="宋体" w:cs="宋体"/>
                <w:color w:val="auto"/>
                <w:szCs w:val="21"/>
              </w:rPr>
              <w:t>5.接种室、温室中配套控温、控湿等环境调控和监测设备，保障微生物致病环境数据采集。</w:t>
            </w:r>
          </w:p>
        </w:tc>
        <w:tc>
          <w:tcPr>
            <w:tcW w:w="541" w:type="dxa"/>
            <w:gridSpan w:val="2"/>
            <w:noWrap w:val="0"/>
            <w:vAlign w:val="center"/>
          </w:tcPr>
          <w:p w14:paraId="47AC1DCE">
            <w:pPr>
              <w:spacing w:line="220" w:lineRule="exact"/>
              <w:jc w:val="center"/>
              <w:rPr>
                <w:rFonts w:hint="eastAsia" w:ascii="宋体" w:hAnsi="宋体" w:cs="宋体"/>
                <w:color w:val="auto"/>
                <w:szCs w:val="21"/>
              </w:rPr>
            </w:pPr>
            <w:r>
              <w:rPr>
                <w:rFonts w:hint="eastAsia" w:ascii="宋体" w:hAnsi="宋体" w:cs="宋体"/>
                <w:color w:val="auto"/>
                <w:szCs w:val="21"/>
              </w:rPr>
              <w:t>4</w:t>
            </w:r>
          </w:p>
        </w:tc>
        <w:tc>
          <w:tcPr>
            <w:tcW w:w="705" w:type="dxa"/>
            <w:noWrap w:val="0"/>
            <w:vAlign w:val="top"/>
          </w:tcPr>
          <w:p w14:paraId="710FF60C">
            <w:pPr>
              <w:spacing w:line="220" w:lineRule="exact"/>
              <w:jc w:val="center"/>
              <w:rPr>
                <w:rFonts w:hint="eastAsia" w:ascii="宋体" w:hAnsi="宋体" w:cs="宋体"/>
                <w:color w:val="auto"/>
                <w:sz w:val="30"/>
                <w:szCs w:val="30"/>
              </w:rPr>
            </w:pPr>
          </w:p>
        </w:tc>
      </w:tr>
      <w:tr w14:paraId="5371DB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30" w:type="dxa"/>
            <w:vMerge w:val="continue"/>
            <w:noWrap w:val="0"/>
            <w:textDirection w:val="tbRlV"/>
            <w:vAlign w:val="center"/>
          </w:tcPr>
          <w:p w14:paraId="0D032C14">
            <w:pPr>
              <w:spacing w:line="220" w:lineRule="exact"/>
              <w:ind w:left="113" w:right="113"/>
              <w:jc w:val="center"/>
              <w:rPr>
                <w:rFonts w:hint="eastAsia" w:ascii="宋体" w:hAnsi="宋体" w:cs="宋体"/>
                <w:color w:val="auto"/>
                <w:szCs w:val="21"/>
              </w:rPr>
            </w:pPr>
          </w:p>
        </w:tc>
        <w:tc>
          <w:tcPr>
            <w:tcW w:w="6555" w:type="dxa"/>
            <w:gridSpan w:val="5"/>
            <w:noWrap w:val="0"/>
            <w:vAlign w:val="center"/>
          </w:tcPr>
          <w:p w14:paraId="0F183922">
            <w:pPr>
              <w:pStyle w:val="5"/>
              <w:snapToGrid w:val="0"/>
              <w:spacing w:beforeLines="0" w:afterLines="0" w:line="340" w:lineRule="exact"/>
              <w:ind w:left="105" w:leftChars="50" w:firstLine="0" w:firstLineChars="0"/>
              <w:rPr>
                <w:rFonts w:hint="eastAsia" w:ascii="宋体" w:hAnsi="宋体" w:cs="宋体"/>
                <w:color w:val="auto"/>
                <w:szCs w:val="21"/>
              </w:rPr>
            </w:pPr>
            <w:r>
              <w:rPr>
                <w:rFonts w:hint="eastAsia" w:ascii="宋体" w:hAnsi="宋体" w:cs="宋体"/>
                <w:color w:val="auto"/>
                <w:szCs w:val="21"/>
              </w:rPr>
              <w:t>6.拥有人工气候室或人工气候箱，具备周年化微生物种质资源评价条件。</w:t>
            </w:r>
          </w:p>
        </w:tc>
        <w:tc>
          <w:tcPr>
            <w:tcW w:w="541" w:type="dxa"/>
            <w:gridSpan w:val="2"/>
            <w:noWrap w:val="0"/>
            <w:vAlign w:val="center"/>
          </w:tcPr>
          <w:p w14:paraId="7D8A5483">
            <w:pPr>
              <w:spacing w:line="220" w:lineRule="exact"/>
              <w:jc w:val="center"/>
              <w:rPr>
                <w:rFonts w:hint="eastAsia" w:ascii="宋体" w:hAnsi="宋体" w:cs="宋体"/>
                <w:color w:val="auto"/>
                <w:szCs w:val="21"/>
              </w:rPr>
            </w:pPr>
            <w:r>
              <w:rPr>
                <w:rFonts w:hint="eastAsia" w:ascii="宋体" w:hAnsi="宋体" w:cs="宋体"/>
                <w:color w:val="auto"/>
                <w:szCs w:val="21"/>
              </w:rPr>
              <w:t>3</w:t>
            </w:r>
          </w:p>
        </w:tc>
        <w:tc>
          <w:tcPr>
            <w:tcW w:w="705" w:type="dxa"/>
            <w:noWrap w:val="0"/>
            <w:vAlign w:val="top"/>
          </w:tcPr>
          <w:p w14:paraId="5F319C36">
            <w:pPr>
              <w:spacing w:line="220" w:lineRule="exact"/>
              <w:jc w:val="center"/>
              <w:rPr>
                <w:rFonts w:hint="eastAsia" w:ascii="宋体" w:hAnsi="宋体" w:cs="宋体"/>
                <w:color w:val="auto"/>
                <w:sz w:val="30"/>
                <w:szCs w:val="30"/>
              </w:rPr>
            </w:pPr>
          </w:p>
        </w:tc>
      </w:tr>
      <w:tr w14:paraId="451918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30" w:type="dxa"/>
            <w:vMerge w:val="continue"/>
            <w:noWrap w:val="0"/>
            <w:vAlign w:val="top"/>
          </w:tcPr>
          <w:p w14:paraId="01DBFBA2">
            <w:pPr>
              <w:spacing w:line="220" w:lineRule="exact"/>
              <w:jc w:val="center"/>
              <w:rPr>
                <w:rFonts w:hint="eastAsia" w:ascii="宋体" w:hAnsi="宋体" w:cs="宋体"/>
                <w:color w:val="auto"/>
                <w:sz w:val="30"/>
                <w:szCs w:val="30"/>
              </w:rPr>
            </w:pPr>
          </w:p>
        </w:tc>
        <w:tc>
          <w:tcPr>
            <w:tcW w:w="6555" w:type="dxa"/>
            <w:gridSpan w:val="5"/>
            <w:noWrap w:val="0"/>
            <w:vAlign w:val="center"/>
          </w:tcPr>
          <w:p w14:paraId="76AFDCF1">
            <w:pPr>
              <w:pStyle w:val="5"/>
              <w:snapToGrid w:val="0"/>
              <w:spacing w:beforeLines="0" w:afterLines="0" w:line="340" w:lineRule="exact"/>
              <w:ind w:left="105" w:leftChars="50" w:firstLine="0" w:firstLineChars="0"/>
              <w:rPr>
                <w:rFonts w:hint="eastAsia" w:ascii="宋体" w:hAnsi="宋体" w:cs="宋体"/>
                <w:color w:val="auto"/>
                <w:szCs w:val="21"/>
              </w:rPr>
            </w:pPr>
            <w:r>
              <w:rPr>
                <w:rFonts w:hint="eastAsia" w:ascii="宋体" w:hAnsi="宋体" w:cs="宋体"/>
                <w:color w:val="auto"/>
                <w:szCs w:val="21"/>
              </w:rPr>
              <w:t>7.具备开展分子生物学、细胞生物学等植病微生物种质资源评价的实验室及仪器设备。</w:t>
            </w:r>
          </w:p>
        </w:tc>
        <w:tc>
          <w:tcPr>
            <w:tcW w:w="541" w:type="dxa"/>
            <w:gridSpan w:val="2"/>
            <w:noWrap w:val="0"/>
            <w:vAlign w:val="center"/>
          </w:tcPr>
          <w:p w14:paraId="26DE781E">
            <w:pPr>
              <w:spacing w:line="220" w:lineRule="exact"/>
              <w:jc w:val="center"/>
              <w:rPr>
                <w:rFonts w:hint="eastAsia" w:ascii="宋体" w:hAnsi="宋体" w:cs="宋体"/>
                <w:color w:val="auto"/>
                <w:szCs w:val="21"/>
              </w:rPr>
            </w:pPr>
            <w:r>
              <w:rPr>
                <w:rFonts w:hint="eastAsia" w:ascii="宋体" w:hAnsi="宋体" w:cs="宋体"/>
                <w:color w:val="auto"/>
                <w:szCs w:val="21"/>
              </w:rPr>
              <w:t>5</w:t>
            </w:r>
          </w:p>
        </w:tc>
        <w:tc>
          <w:tcPr>
            <w:tcW w:w="705" w:type="dxa"/>
            <w:noWrap w:val="0"/>
            <w:vAlign w:val="top"/>
          </w:tcPr>
          <w:p w14:paraId="70AA8AAC">
            <w:pPr>
              <w:spacing w:line="220" w:lineRule="exact"/>
              <w:jc w:val="center"/>
              <w:rPr>
                <w:rFonts w:hint="eastAsia" w:ascii="宋体" w:hAnsi="宋体" w:cs="宋体"/>
                <w:color w:val="auto"/>
                <w:sz w:val="30"/>
                <w:szCs w:val="30"/>
              </w:rPr>
            </w:pPr>
          </w:p>
        </w:tc>
      </w:tr>
      <w:tr w14:paraId="252848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30" w:type="dxa"/>
            <w:vMerge w:val="continue"/>
            <w:noWrap w:val="0"/>
            <w:vAlign w:val="top"/>
          </w:tcPr>
          <w:p w14:paraId="48BBE137">
            <w:pPr>
              <w:spacing w:line="220" w:lineRule="exact"/>
              <w:jc w:val="center"/>
              <w:rPr>
                <w:rFonts w:hint="eastAsia" w:ascii="宋体" w:hAnsi="宋体" w:cs="宋体"/>
                <w:color w:val="auto"/>
                <w:sz w:val="30"/>
                <w:szCs w:val="30"/>
              </w:rPr>
            </w:pPr>
          </w:p>
        </w:tc>
        <w:tc>
          <w:tcPr>
            <w:tcW w:w="6555" w:type="dxa"/>
            <w:gridSpan w:val="5"/>
            <w:noWrap w:val="0"/>
            <w:vAlign w:val="center"/>
          </w:tcPr>
          <w:p w14:paraId="05057D53">
            <w:pPr>
              <w:pStyle w:val="5"/>
              <w:snapToGrid w:val="0"/>
              <w:spacing w:beforeLines="0" w:afterLines="0" w:line="340" w:lineRule="exact"/>
              <w:ind w:left="105" w:leftChars="50" w:firstLine="0" w:firstLineChars="0"/>
              <w:rPr>
                <w:rFonts w:hint="eastAsia" w:ascii="宋体" w:hAnsi="宋体" w:cs="宋体"/>
                <w:color w:val="auto"/>
                <w:szCs w:val="21"/>
              </w:rPr>
            </w:pPr>
            <w:r>
              <w:rPr>
                <w:rFonts w:hint="eastAsia" w:ascii="宋体" w:hAnsi="宋体" w:cs="宋体"/>
                <w:color w:val="auto"/>
                <w:szCs w:val="21"/>
              </w:rPr>
              <w:t>8.聘用或配备2名及以上技术人员，负责植病微生物种质资源收集、分离及保藏工作。</w:t>
            </w:r>
          </w:p>
        </w:tc>
        <w:tc>
          <w:tcPr>
            <w:tcW w:w="541" w:type="dxa"/>
            <w:gridSpan w:val="2"/>
            <w:noWrap w:val="0"/>
            <w:vAlign w:val="center"/>
          </w:tcPr>
          <w:p w14:paraId="20B0E911">
            <w:pPr>
              <w:spacing w:line="220" w:lineRule="exact"/>
              <w:jc w:val="center"/>
              <w:rPr>
                <w:rFonts w:hint="eastAsia" w:ascii="宋体" w:hAnsi="宋体" w:cs="宋体"/>
                <w:color w:val="auto"/>
                <w:szCs w:val="21"/>
              </w:rPr>
            </w:pPr>
            <w:r>
              <w:rPr>
                <w:rFonts w:hint="eastAsia" w:ascii="宋体" w:hAnsi="宋体" w:cs="宋体"/>
                <w:color w:val="auto"/>
                <w:szCs w:val="21"/>
              </w:rPr>
              <w:t>4</w:t>
            </w:r>
          </w:p>
        </w:tc>
        <w:tc>
          <w:tcPr>
            <w:tcW w:w="705" w:type="dxa"/>
            <w:noWrap w:val="0"/>
            <w:vAlign w:val="top"/>
          </w:tcPr>
          <w:p w14:paraId="0004DC6E">
            <w:pPr>
              <w:spacing w:line="220" w:lineRule="exact"/>
              <w:jc w:val="center"/>
              <w:rPr>
                <w:rFonts w:hint="eastAsia" w:ascii="宋体" w:hAnsi="宋体" w:cs="宋体"/>
                <w:color w:val="auto"/>
                <w:sz w:val="30"/>
                <w:szCs w:val="30"/>
              </w:rPr>
            </w:pPr>
          </w:p>
          <w:p w14:paraId="45143BF6">
            <w:pPr>
              <w:spacing w:line="220" w:lineRule="exact"/>
              <w:jc w:val="center"/>
              <w:rPr>
                <w:rFonts w:hint="eastAsia" w:ascii="宋体" w:hAnsi="宋体" w:cs="宋体"/>
                <w:color w:val="auto"/>
                <w:sz w:val="30"/>
                <w:szCs w:val="30"/>
              </w:rPr>
            </w:pPr>
          </w:p>
          <w:p w14:paraId="2BF38A8F">
            <w:pPr>
              <w:spacing w:line="220" w:lineRule="exact"/>
              <w:jc w:val="center"/>
              <w:rPr>
                <w:rFonts w:hint="eastAsia" w:ascii="宋体" w:hAnsi="宋体" w:cs="宋体"/>
                <w:color w:val="auto"/>
                <w:sz w:val="30"/>
                <w:szCs w:val="30"/>
              </w:rPr>
            </w:pPr>
          </w:p>
        </w:tc>
      </w:tr>
      <w:tr w14:paraId="07D0C1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30" w:type="dxa"/>
            <w:vMerge w:val="continue"/>
            <w:noWrap w:val="0"/>
            <w:vAlign w:val="top"/>
          </w:tcPr>
          <w:p w14:paraId="18CE5A18">
            <w:pPr>
              <w:spacing w:line="220" w:lineRule="exact"/>
              <w:jc w:val="center"/>
              <w:rPr>
                <w:rFonts w:hint="eastAsia" w:ascii="宋体" w:hAnsi="宋体" w:cs="宋体"/>
                <w:color w:val="auto"/>
                <w:sz w:val="30"/>
                <w:szCs w:val="30"/>
              </w:rPr>
            </w:pPr>
          </w:p>
        </w:tc>
        <w:tc>
          <w:tcPr>
            <w:tcW w:w="6555" w:type="dxa"/>
            <w:gridSpan w:val="5"/>
            <w:noWrap w:val="0"/>
            <w:vAlign w:val="center"/>
          </w:tcPr>
          <w:p w14:paraId="1B5D0A69">
            <w:pPr>
              <w:pStyle w:val="5"/>
              <w:snapToGrid w:val="0"/>
              <w:spacing w:beforeLines="0" w:afterLines="0" w:line="340" w:lineRule="exact"/>
              <w:ind w:left="105" w:leftChars="50" w:firstLine="0" w:firstLineChars="0"/>
              <w:rPr>
                <w:rFonts w:hint="eastAsia" w:ascii="宋体" w:hAnsi="宋体" w:cs="宋体"/>
                <w:color w:val="auto"/>
                <w:szCs w:val="21"/>
              </w:rPr>
            </w:pPr>
            <w:r>
              <w:rPr>
                <w:rFonts w:hint="eastAsia" w:ascii="宋体" w:hAnsi="宋体" w:cs="宋体"/>
                <w:color w:val="auto"/>
                <w:szCs w:val="21"/>
              </w:rPr>
              <w:t>9.资料室、档案室、实验室、药物及仓库配备齐全，设有专职或兼职人员管理。</w:t>
            </w:r>
          </w:p>
        </w:tc>
        <w:tc>
          <w:tcPr>
            <w:tcW w:w="541" w:type="dxa"/>
            <w:gridSpan w:val="2"/>
            <w:noWrap w:val="0"/>
            <w:vAlign w:val="center"/>
          </w:tcPr>
          <w:p w14:paraId="0A999D12">
            <w:pPr>
              <w:spacing w:line="220" w:lineRule="exact"/>
              <w:jc w:val="center"/>
              <w:rPr>
                <w:rFonts w:hint="eastAsia" w:ascii="宋体" w:hAnsi="宋体" w:cs="宋体"/>
                <w:color w:val="auto"/>
                <w:szCs w:val="21"/>
              </w:rPr>
            </w:pPr>
            <w:r>
              <w:rPr>
                <w:rFonts w:hint="eastAsia" w:ascii="宋体" w:hAnsi="宋体" w:cs="宋体"/>
                <w:color w:val="auto"/>
                <w:szCs w:val="21"/>
              </w:rPr>
              <w:t>4</w:t>
            </w:r>
          </w:p>
        </w:tc>
        <w:tc>
          <w:tcPr>
            <w:tcW w:w="705" w:type="dxa"/>
            <w:noWrap w:val="0"/>
            <w:vAlign w:val="top"/>
          </w:tcPr>
          <w:p w14:paraId="55FA906F">
            <w:pPr>
              <w:spacing w:line="220" w:lineRule="exact"/>
              <w:jc w:val="center"/>
              <w:rPr>
                <w:rFonts w:hint="eastAsia" w:ascii="宋体" w:hAnsi="宋体" w:cs="宋体"/>
                <w:color w:val="auto"/>
                <w:sz w:val="30"/>
                <w:szCs w:val="30"/>
              </w:rPr>
            </w:pPr>
          </w:p>
        </w:tc>
      </w:tr>
      <w:tr w14:paraId="7720A3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30" w:type="dxa"/>
            <w:vMerge w:val="restart"/>
            <w:noWrap w:val="0"/>
            <w:vAlign w:val="center"/>
          </w:tcPr>
          <w:p w14:paraId="3106DD77">
            <w:pPr>
              <w:spacing w:line="300" w:lineRule="exact"/>
              <w:jc w:val="center"/>
              <w:rPr>
                <w:rFonts w:hint="eastAsia" w:ascii="宋体" w:hAnsi="宋体" w:cs="宋体"/>
                <w:color w:val="auto"/>
                <w:szCs w:val="21"/>
              </w:rPr>
            </w:pPr>
          </w:p>
          <w:p w14:paraId="6A8BDD81">
            <w:pPr>
              <w:spacing w:line="300" w:lineRule="exact"/>
              <w:jc w:val="center"/>
              <w:rPr>
                <w:rFonts w:hint="eastAsia" w:ascii="宋体" w:hAnsi="宋体" w:cs="宋体"/>
                <w:b/>
                <w:bCs/>
                <w:color w:val="auto"/>
                <w:szCs w:val="21"/>
              </w:rPr>
            </w:pPr>
            <w:r>
              <w:rPr>
                <w:rFonts w:hint="eastAsia" w:ascii="宋体" w:hAnsi="宋体" w:cs="宋体"/>
                <w:b/>
                <w:bCs/>
                <w:color w:val="auto"/>
                <w:szCs w:val="21"/>
              </w:rPr>
              <w:t>技</w:t>
            </w:r>
          </w:p>
          <w:p w14:paraId="2219219B">
            <w:pPr>
              <w:spacing w:line="300" w:lineRule="exact"/>
              <w:jc w:val="center"/>
              <w:rPr>
                <w:rFonts w:hint="eastAsia" w:ascii="宋体" w:hAnsi="宋体" w:cs="宋体"/>
                <w:b/>
                <w:bCs/>
                <w:color w:val="auto"/>
                <w:szCs w:val="21"/>
              </w:rPr>
            </w:pPr>
            <w:r>
              <w:rPr>
                <w:rFonts w:hint="eastAsia" w:ascii="宋体" w:hAnsi="宋体" w:cs="宋体"/>
                <w:b/>
                <w:bCs/>
                <w:color w:val="auto"/>
                <w:szCs w:val="21"/>
              </w:rPr>
              <w:t>术</w:t>
            </w:r>
          </w:p>
          <w:p w14:paraId="7699A726">
            <w:pPr>
              <w:spacing w:line="300" w:lineRule="exact"/>
              <w:jc w:val="center"/>
              <w:rPr>
                <w:rFonts w:hint="eastAsia" w:ascii="宋体" w:hAnsi="宋体" w:cs="宋体"/>
                <w:b/>
                <w:bCs/>
                <w:color w:val="auto"/>
                <w:szCs w:val="21"/>
              </w:rPr>
            </w:pPr>
            <w:r>
              <w:rPr>
                <w:rFonts w:hint="eastAsia" w:ascii="宋体" w:hAnsi="宋体" w:cs="宋体"/>
                <w:b/>
                <w:bCs/>
                <w:color w:val="auto"/>
                <w:szCs w:val="21"/>
              </w:rPr>
              <w:t>条</w:t>
            </w:r>
          </w:p>
          <w:p w14:paraId="4B6A36F5">
            <w:pPr>
              <w:spacing w:line="300" w:lineRule="exact"/>
              <w:jc w:val="center"/>
              <w:rPr>
                <w:rFonts w:hint="eastAsia" w:ascii="宋体" w:hAnsi="宋体" w:cs="宋体"/>
                <w:b/>
                <w:bCs/>
                <w:color w:val="auto"/>
                <w:szCs w:val="21"/>
              </w:rPr>
            </w:pPr>
            <w:r>
              <w:rPr>
                <w:rFonts w:hint="eastAsia" w:ascii="宋体" w:hAnsi="宋体" w:cs="宋体"/>
                <w:b/>
                <w:bCs/>
                <w:color w:val="auto"/>
                <w:szCs w:val="21"/>
              </w:rPr>
              <w:t>件</w:t>
            </w:r>
          </w:p>
          <w:p w14:paraId="4CED4089">
            <w:pPr>
              <w:spacing w:line="300" w:lineRule="exact"/>
              <w:jc w:val="center"/>
              <w:rPr>
                <w:rFonts w:hint="eastAsia" w:ascii="宋体" w:hAnsi="宋体" w:cs="宋体"/>
                <w:b/>
                <w:bCs/>
                <w:color w:val="auto"/>
                <w:szCs w:val="21"/>
              </w:rPr>
            </w:pPr>
            <w:r>
              <w:rPr>
                <w:rFonts w:hint="eastAsia" w:ascii="宋体" w:hAnsi="宋体" w:cs="宋体"/>
                <w:b/>
                <w:bCs/>
                <w:color w:val="auto"/>
                <w:szCs w:val="21"/>
              </w:rPr>
              <w:t>（40）</w:t>
            </w:r>
          </w:p>
          <w:p w14:paraId="7EC96D6D">
            <w:pPr>
              <w:spacing w:line="300" w:lineRule="exact"/>
              <w:jc w:val="center"/>
              <w:rPr>
                <w:rFonts w:hint="eastAsia" w:ascii="宋体" w:hAnsi="宋体" w:cs="宋体"/>
                <w:color w:val="auto"/>
                <w:szCs w:val="21"/>
              </w:rPr>
            </w:pPr>
            <w:r>
              <w:rPr>
                <w:rFonts w:hint="eastAsia" w:ascii="宋体" w:hAnsi="宋体" w:cs="宋体"/>
                <w:b/>
                <w:bCs/>
                <w:color w:val="auto"/>
                <w:szCs w:val="21"/>
              </w:rPr>
              <w:t>分</w:t>
            </w:r>
          </w:p>
          <w:p w14:paraId="619938DC">
            <w:pPr>
              <w:spacing w:line="300" w:lineRule="exact"/>
              <w:rPr>
                <w:rFonts w:hint="eastAsia" w:ascii="宋体" w:hAnsi="宋体" w:cs="宋体"/>
                <w:color w:val="auto"/>
                <w:sz w:val="30"/>
                <w:szCs w:val="30"/>
              </w:rPr>
            </w:pPr>
          </w:p>
        </w:tc>
        <w:tc>
          <w:tcPr>
            <w:tcW w:w="6555" w:type="dxa"/>
            <w:gridSpan w:val="5"/>
            <w:noWrap w:val="0"/>
            <w:vAlign w:val="center"/>
          </w:tcPr>
          <w:p w14:paraId="36BB000B">
            <w:pPr>
              <w:pStyle w:val="5"/>
              <w:snapToGrid w:val="0"/>
              <w:spacing w:beforeLines="0" w:afterLines="0" w:line="340" w:lineRule="exact"/>
              <w:ind w:left="105" w:leftChars="50" w:firstLine="0" w:firstLineChars="0"/>
              <w:rPr>
                <w:rFonts w:hint="eastAsia" w:ascii="宋体" w:hAnsi="宋体" w:cs="宋体"/>
                <w:color w:val="auto"/>
                <w:szCs w:val="21"/>
              </w:rPr>
            </w:pPr>
            <w:r>
              <w:rPr>
                <w:rFonts w:hint="eastAsia" w:ascii="宋体" w:hAnsi="宋体" w:cs="宋体"/>
                <w:color w:val="auto"/>
                <w:szCs w:val="21"/>
              </w:rPr>
              <w:t>10.植病微生物种质资源评价负责人员具有硕士以上学历或中级以上技术职称，具有植病微生物分类、鉴定等相关知识背景和相应的工作经验。</w:t>
            </w:r>
          </w:p>
        </w:tc>
        <w:tc>
          <w:tcPr>
            <w:tcW w:w="541" w:type="dxa"/>
            <w:gridSpan w:val="2"/>
            <w:noWrap w:val="0"/>
            <w:vAlign w:val="center"/>
          </w:tcPr>
          <w:p w14:paraId="60705507">
            <w:pPr>
              <w:spacing w:line="300" w:lineRule="exact"/>
              <w:jc w:val="center"/>
              <w:rPr>
                <w:rFonts w:hint="eastAsia" w:ascii="宋体" w:hAnsi="宋体" w:cs="宋体"/>
                <w:color w:val="auto"/>
                <w:szCs w:val="21"/>
              </w:rPr>
            </w:pPr>
            <w:r>
              <w:rPr>
                <w:rFonts w:hint="eastAsia" w:ascii="宋体" w:hAnsi="宋体" w:cs="宋体"/>
                <w:color w:val="auto"/>
                <w:szCs w:val="21"/>
              </w:rPr>
              <w:t>5</w:t>
            </w:r>
          </w:p>
        </w:tc>
        <w:tc>
          <w:tcPr>
            <w:tcW w:w="705" w:type="dxa"/>
            <w:noWrap w:val="0"/>
            <w:vAlign w:val="top"/>
          </w:tcPr>
          <w:p w14:paraId="0D44510F">
            <w:pPr>
              <w:spacing w:line="300" w:lineRule="exact"/>
              <w:jc w:val="center"/>
              <w:rPr>
                <w:rFonts w:hint="eastAsia" w:ascii="宋体" w:hAnsi="宋体" w:cs="宋体"/>
                <w:color w:val="auto"/>
                <w:sz w:val="30"/>
                <w:szCs w:val="30"/>
              </w:rPr>
            </w:pPr>
          </w:p>
        </w:tc>
      </w:tr>
      <w:tr w14:paraId="38B4E0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30" w:type="dxa"/>
            <w:vMerge w:val="continue"/>
            <w:noWrap w:val="0"/>
            <w:vAlign w:val="top"/>
          </w:tcPr>
          <w:p w14:paraId="649FD744">
            <w:pPr>
              <w:spacing w:line="300" w:lineRule="exact"/>
              <w:jc w:val="center"/>
              <w:rPr>
                <w:rFonts w:hint="eastAsia" w:ascii="宋体" w:hAnsi="宋体" w:cs="宋体"/>
                <w:color w:val="auto"/>
                <w:sz w:val="30"/>
                <w:szCs w:val="30"/>
              </w:rPr>
            </w:pPr>
          </w:p>
        </w:tc>
        <w:tc>
          <w:tcPr>
            <w:tcW w:w="6555" w:type="dxa"/>
            <w:gridSpan w:val="5"/>
            <w:noWrap w:val="0"/>
            <w:vAlign w:val="center"/>
          </w:tcPr>
          <w:p w14:paraId="12F94073">
            <w:pPr>
              <w:pStyle w:val="5"/>
              <w:snapToGrid w:val="0"/>
              <w:spacing w:beforeLines="0" w:afterLines="0" w:line="340" w:lineRule="exact"/>
              <w:ind w:left="105" w:leftChars="50" w:firstLine="0" w:firstLineChars="0"/>
              <w:rPr>
                <w:rFonts w:hint="eastAsia" w:ascii="宋体" w:hAnsi="宋体" w:cs="宋体"/>
                <w:color w:val="auto"/>
                <w:szCs w:val="21"/>
              </w:rPr>
            </w:pPr>
            <w:r>
              <w:rPr>
                <w:rFonts w:hint="eastAsia" w:ascii="宋体" w:hAnsi="宋体" w:cs="宋体"/>
                <w:color w:val="auto"/>
                <w:szCs w:val="21"/>
              </w:rPr>
              <w:t>11.植病微生物种质资源管理人员具备3年以上相关工作经验。</w:t>
            </w:r>
          </w:p>
        </w:tc>
        <w:tc>
          <w:tcPr>
            <w:tcW w:w="541" w:type="dxa"/>
            <w:gridSpan w:val="2"/>
            <w:noWrap w:val="0"/>
            <w:vAlign w:val="center"/>
          </w:tcPr>
          <w:p w14:paraId="3F945065">
            <w:pPr>
              <w:spacing w:line="300" w:lineRule="exact"/>
              <w:jc w:val="center"/>
              <w:rPr>
                <w:rFonts w:hint="eastAsia" w:ascii="宋体" w:hAnsi="宋体" w:cs="宋体"/>
                <w:color w:val="auto"/>
                <w:szCs w:val="21"/>
              </w:rPr>
            </w:pPr>
            <w:r>
              <w:rPr>
                <w:rFonts w:hint="eastAsia" w:ascii="宋体" w:hAnsi="宋体" w:cs="宋体"/>
                <w:color w:val="auto"/>
                <w:szCs w:val="21"/>
              </w:rPr>
              <w:t>5</w:t>
            </w:r>
          </w:p>
        </w:tc>
        <w:tc>
          <w:tcPr>
            <w:tcW w:w="705" w:type="dxa"/>
            <w:noWrap w:val="0"/>
            <w:vAlign w:val="top"/>
          </w:tcPr>
          <w:p w14:paraId="2266BA77">
            <w:pPr>
              <w:spacing w:line="300" w:lineRule="exact"/>
              <w:jc w:val="center"/>
              <w:rPr>
                <w:rFonts w:hint="eastAsia" w:ascii="宋体" w:hAnsi="宋体" w:cs="宋体"/>
                <w:color w:val="auto"/>
                <w:sz w:val="30"/>
                <w:szCs w:val="30"/>
              </w:rPr>
            </w:pPr>
          </w:p>
        </w:tc>
      </w:tr>
      <w:tr w14:paraId="055CC2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30" w:type="dxa"/>
            <w:vMerge w:val="continue"/>
            <w:noWrap w:val="0"/>
            <w:vAlign w:val="top"/>
          </w:tcPr>
          <w:p w14:paraId="1A3E8A3A">
            <w:pPr>
              <w:spacing w:line="300" w:lineRule="exact"/>
              <w:jc w:val="center"/>
              <w:rPr>
                <w:rFonts w:hint="eastAsia" w:ascii="宋体" w:hAnsi="宋体" w:cs="宋体"/>
                <w:color w:val="auto"/>
                <w:sz w:val="30"/>
                <w:szCs w:val="30"/>
              </w:rPr>
            </w:pPr>
          </w:p>
        </w:tc>
        <w:tc>
          <w:tcPr>
            <w:tcW w:w="6555" w:type="dxa"/>
            <w:gridSpan w:val="5"/>
            <w:noWrap w:val="0"/>
            <w:vAlign w:val="center"/>
          </w:tcPr>
          <w:p w14:paraId="5CD508C2">
            <w:pPr>
              <w:pStyle w:val="5"/>
              <w:snapToGrid w:val="0"/>
              <w:spacing w:beforeLines="0" w:afterLines="0" w:line="340" w:lineRule="exact"/>
              <w:ind w:left="105" w:leftChars="50" w:firstLine="0" w:firstLineChars="0"/>
              <w:rPr>
                <w:rFonts w:hint="eastAsia" w:ascii="宋体" w:hAnsi="宋体" w:cs="宋体"/>
                <w:color w:val="auto"/>
                <w:szCs w:val="21"/>
              </w:rPr>
            </w:pPr>
            <w:r>
              <w:rPr>
                <w:rFonts w:hint="eastAsia" w:ascii="宋体" w:hAnsi="宋体" w:cs="宋体"/>
                <w:color w:val="auto"/>
                <w:szCs w:val="21"/>
              </w:rPr>
              <w:t>12.熟练掌握植病微生物种质资源保藏技术。</w:t>
            </w:r>
          </w:p>
        </w:tc>
        <w:tc>
          <w:tcPr>
            <w:tcW w:w="541" w:type="dxa"/>
            <w:gridSpan w:val="2"/>
            <w:noWrap w:val="0"/>
            <w:vAlign w:val="center"/>
          </w:tcPr>
          <w:p w14:paraId="6C7BB242">
            <w:pPr>
              <w:spacing w:line="300" w:lineRule="exact"/>
              <w:jc w:val="center"/>
              <w:rPr>
                <w:rFonts w:hint="eastAsia" w:ascii="宋体" w:hAnsi="宋体" w:cs="宋体"/>
                <w:color w:val="auto"/>
                <w:szCs w:val="21"/>
              </w:rPr>
            </w:pPr>
            <w:r>
              <w:rPr>
                <w:rFonts w:hint="eastAsia" w:ascii="宋体" w:hAnsi="宋体" w:cs="宋体"/>
                <w:color w:val="auto"/>
                <w:szCs w:val="21"/>
              </w:rPr>
              <w:t>5</w:t>
            </w:r>
          </w:p>
        </w:tc>
        <w:tc>
          <w:tcPr>
            <w:tcW w:w="705" w:type="dxa"/>
            <w:noWrap w:val="0"/>
            <w:vAlign w:val="top"/>
          </w:tcPr>
          <w:p w14:paraId="0F55904C">
            <w:pPr>
              <w:spacing w:line="300" w:lineRule="exact"/>
              <w:jc w:val="center"/>
              <w:rPr>
                <w:rFonts w:hint="eastAsia" w:ascii="宋体" w:hAnsi="宋体" w:cs="宋体"/>
                <w:color w:val="auto"/>
                <w:sz w:val="30"/>
                <w:szCs w:val="30"/>
              </w:rPr>
            </w:pPr>
          </w:p>
        </w:tc>
      </w:tr>
      <w:tr w14:paraId="303599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30" w:type="dxa"/>
            <w:vMerge w:val="continue"/>
            <w:noWrap w:val="0"/>
            <w:vAlign w:val="top"/>
          </w:tcPr>
          <w:p w14:paraId="7B9F4795">
            <w:pPr>
              <w:spacing w:line="300" w:lineRule="exact"/>
              <w:jc w:val="center"/>
              <w:rPr>
                <w:rFonts w:hint="eastAsia" w:ascii="宋体" w:hAnsi="宋体" w:cs="宋体"/>
                <w:color w:val="auto"/>
                <w:sz w:val="30"/>
                <w:szCs w:val="30"/>
              </w:rPr>
            </w:pPr>
          </w:p>
        </w:tc>
        <w:tc>
          <w:tcPr>
            <w:tcW w:w="6555" w:type="dxa"/>
            <w:gridSpan w:val="5"/>
            <w:noWrap w:val="0"/>
            <w:vAlign w:val="center"/>
          </w:tcPr>
          <w:p w14:paraId="25D83AA9">
            <w:pPr>
              <w:pStyle w:val="5"/>
              <w:snapToGrid w:val="0"/>
              <w:spacing w:beforeLines="0" w:afterLines="0" w:line="340" w:lineRule="exact"/>
              <w:ind w:left="105" w:leftChars="50" w:firstLine="0" w:firstLineChars="0"/>
              <w:rPr>
                <w:rFonts w:hint="eastAsia" w:ascii="宋体" w:hAnsi="宋体" w:cs="宋体"/>
                <w:color w:val="auto"/>
                <w:szCs w:val="21"/>
              </w:rPr>
            </w:pPr>
            <w:r>
              <w:rPr>
                <w:rFonts w:hint="eastAsia" w:ascii="宋体" w:hAnsi="宋体" w:cs="宋体"/>
                <w:color w:val="auto"/>
                <w:szCs w:val="21"/>
              </w:rPr>
              <w:t>13.已建有植物病原微生物种质资源库，并且已保藏各类植病微生物种质资源种类</w:t>
            </w:r>
            <w:bookmarkStart w:id="0" w:name="_Hlk46069175"/>
            <w:r>
              <w:rPr>
                <w:rFonts w:hint="eastAsia" w:ascii="宋体" w:hAnsi="宋体" w:cs="宋体"/>
                <w:color w:val="auto"/>
                <w:szCs w:val="21"/>
              </w:rPr>
              <w:t>不少于50种，菌株不少于1000株</w:t>
            </w:r>
            <w:bookmarkEnd w:id="0"/>
            <w:r>
              <w:rPr>
                <w:rFonts w:hint="eastAsia" w:ascii="宋体" w:hAnsi="宋体" w:cs="宋体"/>
                <w:color w:val="auto"/>
                <w:szCs w:val="21"/>
              </w:rPr>
              <w:t>。</w:t>
            </w:r>
          </w:p>
        </w:tc>
        <w:tc>
          <w:tcPr>
            <w:tcW w:w="541" w:type="dxa"/>
            <w:gridSpan w:val="2"/>
            <w:noWrap w:val="0"/>
            <w:vAlign w:val="center"/>
          </w:tcPr>
          <w:p w14:paraId="2566EF18">
            <w:pPr>
              <w:spacing w:line="300" w:lineRule="exact"/>
              <w:jc w:val="center"/>
              <w:rPr>
                <w:rFonts w:hint="eastAsia" w:ascii="宋体" w:hAnsi="宋体" w:cs="宋体"/>
                <w:color w:val="auto"/>
                <w:szCs w:val="21"/>
              </w:rPr>
            </w:pPr>
            <w:r>
              <w:rPr>
                <w:rFonts w:hint="eastAsia" w:ascii="宋体" w:hAnsi="宋体" w:cs="宋体"/>
                <w:color w:val="auto"/>
                <w:szCs w:val="21"/>
              </w:rPr>
              <w:t>6</w:t>
            </w:r>
          </w:p>
        </w:tc>
        <w:tc>
          <w:tcPr>
            <w:tcW w:w="705" w:type="dxa"/>
            <w:noWrap w:val="0"/>
            <w:vAlign w:val="top"/>
          </w:tcPr>
          <w:p w14:paraId="1FA4849D">
            <w:pPr>
              <w:spacing w:line="300" w:lineRule="exact"/>
              <w:jc w:val="center"/>
              <w:rPr>
                <w:rFonts w:hint="eastAsia" w:ascii="宋体" w:hAnsi="宋体" w:cs="宋体"/>
                <w:color w:val="auto"/>
                <w:sz w:val="30"/>
                <w:szCs w:val="30"/>
              </w:rPr>
            </w:pPr>
          </w:p>
        </w:tc>
      </w:tr>
      <w:tr w14:paraId="2C9887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30" w:type="dxa"/>
            <w:vMerge w:val="continue"/>
            <w:noWrap w:val="0"/>
            <w:vAlign w:val="top"/>
          </w:tcPr>
          <w:p w14:paraId="2FAECCDA">
            <w:pPr>
              <w:spacing w:line="300" w:lineRule="exact"/>
              <w:jc w:val="center"/>
              <w:rPr>
                <w:rFonts w:hint="eastAsia" w:ascii="宋体" w:hAnsi="宋体" w:cs="宋体"/>
                <w:color w:val="auto"/>
                <w:sz w:val="30"/>
                <w:szCs w:val="30"/>
              </w:rPr>
            </w:pPr>
          </w:p>
        </w:tc>
        <w:tc>
          <w:tcPr>
            <w:tcW w:w="6555" w:type="dxa"/>
            <w:gridSpan w:val="5"/>
            <w:noWrap w:val="0"/>
            <w:vAlign w:val="center"/>
          </w:tcPr>
          <w:p w14:paraId="5B706215">
            <w:pPr>
              <w:pStyle w:val="5"/>
              <w:snapToGrid w:val="0"/>
              <w:spacing w:beforeLines="0" w:afterLines="0" w:line="340" w:lineRule="exact"/>
              <w:ind w:left="105" w:leftChars="50" w:firstLine="0" w:firstLineChars="0"/>
              <w:rPr>
                <w:rFonts w:hint="eastAsia" w:ascii="宋体" w:hAnsi="宋体" w:cs="宋体"/>
                <w:color w:val="auto"/>
                <w:szCs w:val="21"/>
              </w:rPr>
            </w:pPr>
            <w:r>
              <w:rPr>
                <w:rFonts w:hint="eastAsia" w:ascii="宋体" w:hAnsi="宋体" w:cs="宋体"/>
                <w:color w:val="auto"/>
                <w:szCs w:val="21"/>
              </w:rPr>
              <w:t>14.具备微生物种质资源评价相关技术，承担过相关项目。</w:t>
            </w:r>
          </w:p>
        </w:tc>
        <w:tc>
          <w:tcPr>
            <w:tcW w:w="541" w:type="dxa"/>
            <w:gridSpan w:val="2"/>
            <w:noWrap w:val="0"/>
            <w:vAlign w:val="center"/>
          </w:tcPr>
          <w:p w14:paraId="55527EEE">
            <w:pPr>
              <w:spacing w:line="300" w:lineRule="exact"/>
              <w:jc w:val="center"/>
              <w:rPr>
                <w:rFonts w:hint="eastAsia" w:ascii="宋体" w:hAnsi="宋体" w:cs="宋体"/>
                <w:color w:val="auto"/>
                <w:szCs w:val="21"/>
              </w:rPr>
            </w:pPr>
            <w:r>
              <w:rPr>
                <w:rFonts w:hint="eastAsia" w:ascii="宋体" w:hAnsi="宋体" w:cs="宋体"/>
                <w:color w:val="auto"/>
                <w:szCs w:val="21"/>
              </w:rPr>
              <w:t>5</w:t>
            </w:r>
          </w:p>
        </w:tc>
        <w:tc>
          <w:tcPr>
            <w:tcW w:w="705" w:type="dxa"/>
            <w:noWrap w:val="0"/>
            <w:vAlign w:val="top"/>
          </w:tcPr>
          <w:p w14:paraId="5045D756">
            <w:pPr>
              <w:spacing w:line="300" w:lineRule="exact"/>
              <w:jc w:val="center"/>
              <w:rPr>
                <w:rFonts w:hint="eastAsia" w:ascii="宋体" w:hAnsi="宋体" w:cs="宋体"/>
                <w:color w:val="auto"/>
                <w:sz w:val="30"/>
                <w:szCs w:val="30"/>
              </w:rPr>
            </w:pPr>
          </w:p>
        </w:tc>
      </w:tr>
      <w:tr w14:paraId="5AF200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30" w:type="dxa"/>
            <w:vMerge w:val="continue"/>
            <w:noWrap w:val="0"/>
            <w:vAlign w:val="top"/>
          </w:tcPr>
          <w:p w14:paraId="6CDAE18B">
            <w:pPr>
              <w:spacing w:line="300" w:lineRule="exact"/>
              <w:jc w:val="center"/>
              <w:rPr>
                <w:rFonts w:hint="eastAsia" w:ascii="宋体" w:hAnsi="宋体" w:cs="宋体"/>
                <w:color w:val="auto"/>
                <w:sz w:val="30"/>
                <w:szCs w:val="30"/>
              </w:rPr>
            </w:pPr>
          </w:p>
        </w:tc>
        <w:tc>
          <w:tcPr>
            <w:tcW w:w="6555" w:type="dxa"/>
            <w:gridSpan w:val="5"/>
            <w:noWrap w:val="0"/>
            <w:vAlign w:val="center"/>
          </w:tcPr>
          <w:p w14:paraId="76FA9856">
            <w:pPr>
              <w:pStyle w:val="5"/>
              <w:snapToGrid w:val="0"/>
              <w:spacing w:beforeLines="0" w:afterLines="0" w:line="340" w:lineRule="exact"/>
              <w:ind w:left="105" w:leftChars="50" w:firstLine="0" w:firstLineChars="0"/>
              <w:rPr>
                <w:rFonts w:hint="eastAsia" w:ascii="宋体" w:hAnsi="宋体" w:cs="宋体"/>
                <w:color w:val="auto"/>
                <w:szCs w:val="21"/>
              </w:rPr>
            </w:pPr>
            <w:r>
              <w:rPr>
                <w:rFonts w:hint="eastAsia" w:ascii="宋体" w:hAnsi="宋体" w:cs="宋体"/>
                <w:color w:val="auto"/>
                <w:szCs w:val="21"/>
              </w:rPr>
              <w:t>15.拥有自主鉴定植病微生物种类的能力，具备植病微生物菌种鉴定报告及相关技术专利。</w:t>
            </w:r>
          </w:p>
        </w:tc>
        <w:tc>
          <w:tcPr>
            <w:tcW w:w="541" w:type="dxa"/>
            <w:gridSpan w:val="2"/>
            <w:noWrap w:val="0"/>
            <w:vAlign w:val="center"/>
          </w:tcPr>
          <w:p w14:paraId="331BB725">
            <w:pPr>
              <w:spacing w:line="300" w:lineRule="exact"/>
              <w:jc w:val="center"/>
              <w:rPr>
                <w:rFonts w:hint="eastAsia" w:ascii="宋体" w:hAnsi="宋体" w:cs="宋体"/>
                <w:color w:val="auto"/>
                <w:szCs w:val="21"/>
              </w:rPr>
            </w:pPr>
            <w:r>
              <w:rPr>
                <w:rFonts w:hint="eastAsia" w:ascii="宋体" w:hAnsi="宋体" w:cs="宋体"/>
                <w:color w:val="auto"/>
                <w:szCs w:val="21"/>
              </w:rPr>
              <w:t>6</w:t>
            </w:r>
          </w:p>
        </w:tc>
        <w:tc>
          <w:tcPr>
            <w:tcW w:w="705" w:type="dxa"/>
            <w:noWrap w:val="0"/>
            <w:vAlign w:val="top"/>
          </w:tcPr>
          <w:p w14:paraId="477C3016">
            <w:pPr>
              <w:spacing w:line="300" w:lineRule="exact"/>
              <w:jc w:val="center"/>
              <w:rPr>
                <w:rFonts w:hint="eastAsia" w:ascii="宋体" w:hAnsi="宋体" w:cs="宋体"/>
                <w:color w:val="auto"/>
                <w:sz w:val="30"/>
                <w:szCs w:val="30"/>
              </w:rPr>
            </w:pPr>
          </w:p>
        </w:tc>
      </w:tr>
      <w:tr w14:paraId="10E427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30" w:type="dxa"/>
            <w:vMerge w:val="continue"/>
            <w:noWrap w:val="0"/>
            <w:vAlign w:val="top"/>
          </w:tcPr>
          <w:p w14:paraId="7FE1CCC9">
            <w:pPr>
              <w:spacing w:line="300" w:lineRule="exact"/>
              <w:jc w:val="center"/>
              <w:rPr>
                <w:rFonts w:hint="eastAsia" w:ascii="宋体" w:hAnsi="宋体" w:cs="宋体"/>
                <w:color w:val="auto"/>
                <w:sz w:val="30"/>
                <w:szCs w:val="30"/>
              </w:rPr>
            </w:pPr>
          </w:p>
        </w:tc>
        <w:tc>
          <w:tcPr>
            <w:tcW w:w="6555" w:type="dxa"/>
            <w:gridSpan w:val="5"/>
            <w:noWrap w:val="0"/>
            <w:vAlign w:val="center"/>
          </w:tcPr>
          <w:p w14:paraId="0501812A">
            <w:pPr>
              <w:pStyle w:val="5"/>
              <w:snapToGrid w:val="0"/>
              <w:spacing w:beforeLines="0" w:afterLines="0" w:line="340" w:lineRule="exact"/>
              <w:ind w:left="105" w:leftChars="50" w:firstLine="0" w:firstLineChars="0"/>
              <w:rPr>
                <w:rFonts w:hint="eastAsia" w:ascii="宋体" w:hAnsi="宋体" w:cs="宋体"/>
                <w:color w:val="auto"/>
                <w:szCs w:val="21"/>
              </w:rPr>
            </w:pPr>
            <w:r>
              <w:rPr>
                <w:rFonts w:hint="eastAsia" w:ascii="宋体" w:hAnsi="宋体" w:cs="宋体"/>
                <w:color w:val="auto"/>
                <w:szCs w:val="21"/>
              </w:rPr>
              <w:t>16.定期对技术人员进行植病微生物保藏、评价、分类鉴定技术及安全操作技术培训。</w:t>
            </w:r>
          </w:p>
        </w:tc>
        <w:tc>
          <w:tcPr>
            <w:tcW w:w="541" w:type="dxa"/>
            <w:gridSpan w:val="2"/>
            <w:noWrap w:val="0"/>
            <w:vAlign w:val="center"/>
          </w:tcPr>
          <w:p w14:paraId="07D5DDDF">
            <w:pPr>
              <w:spacing w:line="300" w:lineRule="exact"/>
              <w:jc w:val="center"/>
              <w:rPr>
                <w:rFonts w:hint="eastAsia" w:ascii="宋体" w:hAnsi="宋体" w:cs="宋体"/>
                <w:color w:val="auto"/>
                <w:szCs w:val="21"/>
              </w:rPr>
            </w:pPr>
            <w:r>
              <w:rPr>
                <w:rFonts w:hint="eastAsia" w:ascii="宋体" w:hAnsi="宋体" w:cs="宋体"/>
                <w:color w:val="auto"/>
                <w:szCs w:val="21"/>
              </w:rPr>
              <w:t>4</w:t>
            </w:r>
          </w:p>
        </w:tc>
        <w:tc>
          <w:tcPr>
            <w:tcW w:w="705" w:type="dxa"/>
            <w:noWrap w:val="0"/>
            <w:vAlign w:val="top"/>
          </w:tcPr>
          <w:p w14:paraId="74567DFF">
            <w:pPr>
              <w:spacing w:line="300" w:lineRule="exact"/>
              <w:jc w:val="center"/>
              <w:rPr>
                <w:rFonts w:hint="eastAsia" w:ascii="宋体" w:hAnsi="宋体" w:cs="宋体"/>
                <w:color w:val="auto"/>
                <w:sz w:val="30"/>
                <w:szCs w:val="30"/>
              </w:rPr>
            </w:pPr>
          </w:p>
        </w:tc>
      </w:tr>
      <w:tr w14:paraId="73B825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30" w:type="dxa"/>
            <w:vMerge w:val="continue"/>
            <w:noWrap w:val="0"/>
            <w:vAlign w:val="top"/>
          </w:tcPr>
          <w:p w14:paraId="5B5F58EC">
            <w:pPr>
              <w:spacing w:line="300" w:lineRule="exact"/>
              <w:jc w:val="center"/>
              <w:rPr>
                <w:rFonts w:hint="eastAsia" w:ascii="宋体" w:hAnsi="宋体" w:cs="宋体"/>
                <w:color w:val="auto"/>
                <w:sz w:val="30"/>
                <w:szCs w:val="30"/>
              </w:rPr>
            </w:pPr>
          </w:p>
        </w:tc>
        <w:tc>
          <w:tcPr>
            <w:tcW w:w="6555" w:type="dxa"/>
            <w:gridSpan w:val="5"/>
            <w:noWrap w:val="0"/>
            <w:vAlign w:val="center"/>
          </w:tcPr>
          <w:p w14:paraId="671CE1E1">
            <w:pPr>
              <w:pStyle w:val="5"/>
              <w:snapToGrid w:val="0"/>
              <w:spacing w:beforeLines="0" w:afterLines="0" w:line="340" w:lineRule="exact"/>
              <w:ind w:left="105" w:leftChars="50" w:firstLine="0" w:firstLineChars="0"/>
              <w:rPr>
                <w:rFonts w:hint="eastAsia" w:ascii="宋体" w:hAnsi="宋体" w:cs="宋体"/>
                <w:color w:val="auto"/>
                <w:szCs w:val="21"/>
              </w:rPr>
            </w:pPr>
            <w:r>
              <w:rPr>
                <w:rFonts w:hint="eastAsia" w:ascii="宋体" w:hAnsi="宋体" w:cs="宋体"/>
                <w:color w:val="auto"/>
                <w:szCs w:val="21"/>
              </w:rPr>
              <w:t>17.植病微生物种质资源管理人员具有一定的实验室管理、规划能力。</w:t>
            </w:r>
          </w:p>
        </w:tc>
        <w:tc>
          <w:tcPr>
            <w:tcW w:w="541" w:type="dxa"/>
            <w:gridSpan w:val="2"/>
            <w:noWrap w:val="0"/>
            <w:vAlign w:val="center"/>
          </w:tcPr>
          <w:p w14:paraId="090F56A1">
            <w:pPr>
              <w:spacing w:line="300" w:lineRule="exact"/>
              <w:jc w:val="center"/>
              <w:rPr>
                <w:rFonts w:hint="eastAsia" w:ascii="宋体" w:hAnsi="宋体" w:cs="宋体"/>
                <w:color w:val="auto"/>
                <w:szCs w:val="21"/>
              </w:rPr>
            </w:pPr>
            <w:r>
              <w:rPr>
                <w:rFonts w:hint="eastAsia" w:ascii="宋体" w:hAnsi="宋体" w:cs="宋体"/>
                <w:color w:val="auto"/>
                <w:szCs w:val="21"/>
              </w:rPr>
              <w:t>4</w:t>
            </w:r>
          </w:p>
        </w:tc>
        <w:tc>
          <w:tcPr>
            <w:tcW w:w="705" w:type="dxa"/>
            <w:noWrap w:val="0"/>
            <w:vAlign w:val="top"/>
          </w:tcPr>
          <w:p w14:paraId="6B4218DB">
            <w:pPr>
              <w:spacing w:line="300" w:lineRule="exact"/>
              <w:jc w:val="center"/>
              <w:rPr>
                <w:rFonts w:hint="eastAsia" w:ascii="宋体" w:hAnsi="宋体" w:cs="宋体"/>
                <w:color w:val="auto"/>
                <w:sz w:val="30"/>
                <w:szCs w:val="30"/>
              </w:rPr>
            </w:pPr>
          </w:p>
        </w:tc>
      </w:tr>
      <w:tr w14:paraId="63930D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30" w:type="dxa"/>
            <w:vMerge w:val="restart"/>
            <w:noWrap w:val="0"/>
            <w:vAlign w:val="center"/>
          </w:tcPr>
          <w:p w14:paraId="2D54EE15">
            <w:pPr>
              <w:spacing w:line="300" w:lineRule="exact"/>
              <w:jc w:val="center"/>
              <w:rPr>
                <w:rFonts w:hint="eastAsia" w:ascii="宋体" w:hAnsi="宋体" w:cs="宋体"/>
                <w:b/>
                <w:bCs/>
                <w:color w:val="auto"/>
                <w:szCs w:val="21"/>
              </w:rPr>
            </w:pPr>
            <w:r>
              <w:rPr>
                <w:rFonts w:hint="eastAsia" w:ascii="宋体" w:hAnsi="宋体" w:cs="宋体"/>
                <w:b/>
                <w:bCs/>
                <w:color w:val="auto"/>
                <w:szCs w:val="21"/>
              </w:rPr>
              <w:t>管</w:t>
            </w:r>
          </w:p>
          <w:p w14:paraId="40567B31">
            <w:pPr>
              <w:spacing w:line="300" w:lineRule="exact"/>
              <w:jc w:val="center"/>
              <w:rPr>
                <w:rFonts w:hint="eastAsia" w:ascii="宋体" w:hAnsi="宋体" w:cs="宋体"/>
                <w:b/>
                <w:bCs/>
                <w:color w:val="auto"/>
                <w:szCs w:val="21"/>
              </w:rPr>
            </w:pPr>
            <w:r>
              <w:rPr>
                <w:rFonts w:hint="eastAsia" w:ascii="宋体" w:hAnsi="宋体" w:cs="宋体"/>
                <w:b/>
                <w:bCs/>
                <w:color w:val="auto"/>
                <w:szCs w:val="21"/>
              </w:rPr>
              <w:t>理</w:t>
            </w:r>
          </w:p>
          <w:p w14:paraId="3CD22F9F">
            <w:pPr>
              <w:spacing w:line="300" w:lineRule="exact"/>
              <w:jc w:val="center"/>
              <w:rPr>
                <w:rFonts w:hint="eastAsia" w:ascii="宋体" w:hAnsi="宋体" w:cs="宋体"/>
                <w:b/>
                <w:bCs/>
                <w:color w:val="auto"/>
                <w:szCs w:val="21"/>
              </w:rPr>
            </w:pPr>
            <w:r>
              <w:rPr>
                <w:rFonts w:hint="eastAsia" w:ascii="宋体" w:hAnsi="宋体" w:cs="宋体"/>
                <w:b/>
                <w:bCs/>
                <w:color w:val="auto"/>
                <w:szCs w:val="21"/>
              </w:rPr>
              <w:t>制</w:t>
            </w:r>
          </w:p>
          <w:p w14:paraId="1DB2F4D1">
            <w:pPr>
              <w:spacing w:line="300" w:lineRule="exact"/>
              <w:jc w:val="center"/>
              <w:rPr>
                <w:rFonts w:hint="eastAsia" w:ascii="宋体" w:hAnsi="宋体" w:cs="宋体"/>
                <w:b/>
                <w:bCs/>
                <w:color w:val="auto"/>
                <w:szCs w:val="21"/>
              </w:rPr>
            </w:pPr>
            <w:r>
              <w:rPr>
                <w:rFonts w:hint="eastAsia" w:ascii="宋体" w:hAnsi="宋体" w:cs="宋体"/>
                <w:b/>
                <w:bCs/>
                <w:color w:val="auto"/>
                <w:szCs w:val="21"/>
              </w:rPr>
              <w:t>度</w:t>
            </w:r>
          </w:p>
          <w:p w14:paraId="7C5C26A7">
            <w:pPr>
              <w:spacing w:line="300" w:lineRule="exact"/>
              <w:jc w:val="center"/>
              <w:rPr>
                <w:rFonts w:hint="eastAsia" w:ascii="宋体" w:hAnsi="宋体" w:cs="宋体"/>
                <w:b/>
                <w:bCs/>
                <w:color w:val="auto"/>
                <w:szCs w:val="21"/>
              </w:rPr>
            </w:pPr>
            <w:r>
              <w:rPr>
                <w:rFonts w:hint="eastAsia" w:ascii="宋体" w:hAnsi="宋体" w:cs="宋体"/>
                <w:b/>
                <w:bCs/>
                <w:color w:val="auto"/>
                <w:szCs w:val="21"/>
              </w:rPr>
              <w:t>（20）</w:t>
            </w:r>
          </w:p>
          <w:p w14:paraId="271C31AB">
            <w:pPr>
              <w:spacing w:line="300" w:lineRule="exact"/>
              <w:jc w:val="center"/>
              <w:rPr>
                <w:rFonts w:hint="eastAsia" w:ascii="宋体" w:hAnsi="宋体" w:cs="宋体"/>
                <w:b/>
                <w:bCs/>
                <w:color w:val="auto"/>
                <w:szCs w:val="21"/>
              </w:rPr>
            </w:pPr>
            <w:r>
              <w:rPr>
                <w:rFonts w:hint="eastAsia" w:ascii="宋体" w:hAnsi="宋体" w:cs="宋体"/>
                <w:b/>
                <w:bCs/>
                <w:color w:val="auto"/>
                <w:szCs w:val="21"/>
              </w:rPr>
              <w:t>分</w:t>
            </w:r>
          </w:p>
        </w:tc>
        <w:tc>
          <w:tcPr>
            <w:tcW w:w="6555" w:type="dxa"/>
            <w:gridSpan w:val="5"/>
            <w:noWrap w:val="0"/>
            <w:vAlign w:val="center"/>
          </w:tcPr>
          <w:p w14:paraId="7EE9845F">
            <w:pPr>
              <w:pStyle w:val="5"/>
              <w:snapToGrid w:val="0"/>
              <w:spacing w:beforeLines="0" w:afterLines="0" w:line="360" w:lineRule="exact"/>
              <w:ind w:left="105" w:leftChars="50" w:firstLine="0" w:firstLineChars="0"/>
              <w:rPr>
                <w:rFonts w:hint="eastAsia" w:ascii="宋体" w:hAnsi="宋体" w:cs="宋体"/>
                <w:color w:val="auto"/>
                <w:szCs w:val="21"/>
              </w:rPr>
            </w:pPr>
            <w:r>
              <w:rPr>
                <w:rFonts w:hint="eastAsia" w:ascii="宋体" w:hAnsi="宋体" w:cs="宋体"/>
                <w:color w:val="auto"/>
                <w:szCs w:val="21"/>
              </w:rPr>
              <w:t>18.种质资源来源清晰，记录齐全，设定统一编号，并有专人负责。</w:t>
            </w:r>
          </w:p>
        </w:tc>
        <w:tc>
          <w:tcPr>
            <w:tcW w:w="541" w:type="dxa"/>
            <w:gridSpan w:val="2"/>
            <w:noWrap w:val="0"/>
            <w:vAlign w:val="center"/>
          </w:tcPr>
          <w:p w14:paraId="7CF212C4">
            <w:pPr>
              <w:spacing w:line="300" w:lineRule="exact"/>
              <w:jc w:val="center"/>
              <w:rPr>
                <w:rFonts w:hint="eastAsia" w:ascii="宋体" w:hAnsi="宋体" w:cs="宋体"/>
                <w:color w:val="auto"/>
                <w:szCs w:val="21"/>
              </w:rPr>
            </w:pPr>
            <w:r>
              <w:rPr>
                <w:rFonts w:hint="eastAsia" w:ascii="宋体" w:hAnsi="宋体" w:cs="宋体"/>
                <w:color w:val="auto"/>
                <w:szCs w:val="21"/>
              </w:rPr>
              <w:t>3</w:t>
            </w:r>
          </w:p>
        </w:tc>
        <w:tc>
          <w:tcPr>
            <w:tcW w:w="705" w:type="dxa"/>
            <w:noWrap w:val="0"/>
            <w:vAlign w:val="top"/>
          </w:tcPr>
          <w:p w14:paraId="74C508CC">
            <w:pPr>
              <w:spacing w:line="300" w:lineRule="exact"/>
              <w:jc w:val="center"/>
              <w:rPr>
                <w:rFonts w:hint="eastAsia" w:ascii="宋体" w:hAnsi="宋体" w:cs="宋体"/>
                <w:color w:val="auto"/>
                <w:sz w:val="30"/>
                <w:szCs w:val="30"/>
              </w:rPr>
            </w:pPr>
          </w:p>
        </w:tc>
      </w:tr>
      <w:tr w14:paraId="7A1278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30" w:type="dxa"/>
            <w:vMerge w:val="continue"/>
            <w:noWrap w:val="0"/>
            <w:textDirection w:val="tbRlV"/>
            <w:vAlign w:val="center"/>
          </w:tcPr>
          <w:p w14:paraId="5C41214A">
            <w:pPr>
              <w:spacing w:line="300" w:lineRule="exact"/>
              <w:ind w:left="113" w:right="113"/>
              <w:jc w:val="center"/>
              <w:rPr>
                <w:rFonts w:hint="eastAsia" w:ascii="宋体" w:hAnsi="宋体" w:cs="宋体"/>
                <w:b/>
                <w:bCs/>
                <w:color w:val="auto"/>
                <w:szCs w:val="21"/>
              </w:rPr>
            </w:pPr>
          </w:p>
        </w:tc>
        <w:tc>
          <w:tcPr>
            <w:tcW w:w="6555" w:type="dxa"/>
            <w:gridSpan w:val="5"/>
            <w:noWrap w:val="0"/>
            <w:vAlign w:val="center"/>
          </w:tcPr>
          <w:p w14:paraId="2635672F">
            <w:pPr>
              <w:pStyle w:val="5"/>
              <w:snapToGrid w:val="0"/>
              <w:spacing w:beforeLines="0" w:afterLines="0" w:line="360" w:lineRule="exact"/>
              <w:ind w:left="105" w:leftChars="50" w:firstLine="0" w:firstLineChars="0"/>
              <w:rPr>
                <w:rFonts w:hint="eastAsia" w:ascii="宋体" w:hAnsi="宋体" w:cs="宋体"/>
                <w:color w:val="auto"/>
                <w:szCs w:val="21"/>
              </w:rPr>
            </w:pPr>
            <w:r>
              <w:rPr>
                <w:rFonts w:hint="eastAsia" w:ascii="宋体" w:hAnsi="宋体" w:cs="宋体"/>
                <w:color w:val="auto"/>
                <w:szCs w:val="21"/>
              </w:rPr>
              <w:t>19.建立保藏种质资源活力检测制度，并及时提纯复壮。</w:t>
            </w:r>
          </w:p>
        </w:tc>
        <w:tc>
          <w:tcPr>
            <w:tcW w:w="541" w:type="dxa"/>
            <w:gridSpan w:val="2"/>
            <w:noWrap w:val="0"/>
            <w:vAlign w:val="center"/>
          </w:tcPr>
          <w:p w14:paraId="7F5CA94F">
            <w:pPr>
              <w:spacing w:line="300" w:lineRule="exact"/>
              <w:jc w:val="center"/>
              <w:rPr>
                <w:rFonts w:hint="eastAsia" w:ascii="宋体" w:hAnsi="宋体" w:cs="宋体"/>
                <w:color w:val="auto"/>
                <w:szCs w:val="21"/>
              </w:rPr>
            </w:pPr>
            <w:r>
              <w:rPr>
                <w:rFonts w:hint="eastAsia" w:ascii="宋体" w:hAnsi="宋体" w:cs="宋体"/>
                <w:color w:val="auto"/>
                <w:szCs w:val="21"/>
              </w:rPr>
              <w:t>3</w:t>
            </w:r>
          </w:p>
        </w:tc>
        <w:tc>
          <w:tcPr>
            <w:tcW w:w="705" w:type="dxa"/>
            <w:noWrap w:val="0"/>
            <w:vAlign w:val="top"/>
          </w:tcPr>
          <w:p w14:paraId="5D95F1B2">
            <w:pPr>
              <w:spacing w:line="300" w:lineRule="exact"/>
              <w:jc w:val="center"/>
              <w:rPr>
                <w:rFonts w:hint="eastAsia" w:ascii="宋体" w:hAnsi="宋体" w:cs="宋体"/>
                <w:color w:val="auto"/>
                <w:sz w:val="30"/>
                <w:szCs w:val="30"/>
              </w:rPr>
            </w:pPr>
          </w:p>
        </w:tc>
      </w:tr>
      <w:tr w14:paraId="007FD3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30" w:type="dxa"/>
            <w:vMerge w:val="continue"/>
            <w:noWrap w:val="0"/>
            <w:textDirection w:val="tbRlV"/>
            <w:vAlign w:val="center"/>
          </w:tcPr>
          <w:p w14:paraId="1B68E010">
            <w:pPr>
              <w:spacing w:line="300" w:lineRule="exact"/>
              <w:ind w:left="113" w:right="113"/>
              <w:jc w:val="center"/>
              <w:rPr>
                <w:rFonts w:hint="eastAsia" w:ascii="宋体" w:hAnsi="宋体" w:cs="宋体"/>
                <w:b/>
                <w:bCs/>
                <w:color w:val="auto"/>
                <w:szCs w:val="21"/>
              </w:rPr>
            </w:pPr>
          </w:p>
        </w:tc>
        <w:tc>
          <w:tcPr>
            <w:tcW w:w="6555" w:type="dxa"/>
            <w:gridSpan w:val="5"/>
            <w:noWrap w:val="0"/>
            <w:vAlign w:val="center"/>
          </w:tcPr>
          <w:p w14:paraId="09CD5026">
            <w:pPr>
              <w:pStyle w:val="5"/>
              <w:snapToGrid w:val="0"/>
              <w:spacing w:beforeLines="0" w:afterLines="0" w:line="360" w:lineRule="exact"/>
              <w:ind w:left="105" w:leftChars="50" w:firstLine="0" w:firstLineChars="0"/>
              <w:rPr>
                <w:rFonts w:hint="eastAsia" w:ascii="宋体" w:hAnsi="宋体" w:cs="宋体"/>
                <w:color w:val="auto"/>
                <w:szCs w:val="21"/>
              </w:rPr>
            </w:pPr>
            <w:r>
              <w:rPr>
                <w:rFonts w:hint="eastAsia" w:ascii="宋体" w:hAnsi="宋体" w:cs="宋体"/>
                <w:color w:val="auto"/>
                <w:szCs w:val="21"/>
              </w:rPr>
              <w:t>20.建立岗位责任制、档案管理制度、培训考核制度等。</w:t>
            </w:r>
          </w:p>
        </w:tc>
        <w:tc>
          <w:tcPr>
            <w:tcW w:w="541" w:type="dxa"/>
            <w:gridSpan w:val="2"/>
            <w:noWrap w:val="0"/>
            <w:vAlign w:val="center"/>
          </w:tcPr>
          <w:p w14:paraId="73FA3455">
            <w:pPr>
              <w:spacing w:line="300" w:lineRule="exact"/>
              <w:jc w:val="center"/>
              <w:rPr>
                <w:rFonts w:hint="eastAsia" w:ascii="宋体" w:hAnsi="宋体" w:cs="宋体"/>
                <w:color w:val="auto"/>
                <w:szCs w:val="21"/>
              </w:rPr>
            </w:pPr>
            <w:r>
              <w:rPr>
                <w:rFonts w:hint="eastAsia" w:ascii="宋体" w:hAnsi="宋体" w:cs="宋体"/>
                <w:color w:val="auto"/>
                <w:szCs w:val="21"/>
              </w:rPr>
              <w:t>3</w:t>
            </w:r>
          </w:p>
        </w:tc>
        <w:tc>
          <w:tcPr>
            <w:tcW w:w="705" w:type="dxa"/>
            <w:noWrap w:val="0"/>
            <w:vAlign w:val="top"/>
          </w:tcPr>
          <w:p w14:paraId="6724447A">
            <w:pPr>
              <w:spacing w:line="300" w:lineRule="exact"/>
              <w:jc w:val="center"/>
              <w:rPr>
                <w:rFonts w:hint="eastAsia" w:ascii="宋体" w:hAnsi="宋体" w:cs="宋体"/>
                <w:color w:val="auto"/>
                <w:sz w:val="30"/>
                <w:szCs w:val="30"/>
              </w:rPr>
            </w:pPr>
          </w:p>
        </w:tc>
      </w:tr>
      <w:tr w14:paraId="631E74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30" w:type="dxa"/>
            <w:vMerge w:val="continue"/>
            <w:noWrap w:val="0"/>
            <w:textDirection w:val="tbRlV"/>
            <w:vAlign w:val="center"/>
          </w:tcPr>
          <w:p w14:paraId="014AD6BA">
            <w:pPr>
              <w:spacing w:line="300" w:lineRule="exact"/>
              <w:ind w:left="113" w:right="113"/>
              <w:jc w:val="center"/>
              <w:rPr>
                <w:rFonts w:hint="eastAsia" w:ascii="宋体" w:hAnsi="宋体" w:cs="宋体"/>
                <w:color w:val="auto"/>
                <w:szCs w:val="21"/>
              </w:rPr>
            </w:pPr>
          </w:p>
        </w:tc>
        <w:tc>
          <w:tcPr>
            <w:tcW w:w="6555" w:type="dxa"/>
            <w:gridSpan w:val="5"/>
            <w:noWrap w:val="0"/>
            <w:vAlign w:val="center"/>
          </w:tcPr>
          <w:p w14:paraId="6F3498E6">
            <w:pPr>
              <w:pStyle w:val="5"/>
              <w:snapToGrid w:val="0"/>
              <w:spacing w:beforeLines="0" w:afterLines="0" w:line="360" w:lineRule="exact"/>
              <w:ind w:left="105" w:leftChars="50" w:firstLine="0" w:firstLineChars="0"/>
              <w:rPr>
                <w:rFonts w:hint="eastAsia" w:ascii="宋体" w:hAnsi="宋体" w:cs="宋体"/>
                <w:color w:val="auto"/>
                <w:szCs w:val="21"/>
              </w:rPr>
            </w:pPr>
            <w:r>
              <w:rPr>
                <w:rFonts w:hint="eastAsia" w:ascii="宋体" w:hAnsi="宋体" w:cs="宋体"/>
                <w:color w:val="auto"/>
                <w:szCs w:val="21"/>
              </w:rPr>
              <w:t>21.无连续两次不提交年度工作报告的行为，且年度工作报告提交及时，内容符合要求。无遇重大事项未及时上报的行为。（仅适用于复查，如是初次申请，此项满分）。</w:t>
            </w:r>
          </w:p>
        </w:tc>
        <w:tc>
          <w:tcPr>
            <w:tcW w:w="541" w:type="dxa"/>
            <w:gridSpan w:val="2"/>
            <w:noWrap w:val="0"/>
            <w:vAlign w:val="center"/>
          </w:tcPr>
          <w:p w14:paraId="266C3B86">
            <w:pPr>
              <w:spacing w:line="300" w:lineRule="exact"/>
              <w:jc w:val="center"/>
              <w:rPr>
                <w:rFonts w:hint="eastAsia" w:ascii="宋体" w:hAnsi="宋体" w:cs="宋体"/>
                <w:color w:val="auto"/>
                <w:szCs w:val="21"/>
              </w:rPr>
            </w:pPr>
            <w:r>
              <w:rPr>
                <w:rFonts w:hint="eastAsia" w:ascii="宋体" w:hAnsi="宋体" w:cs="宋体"/>
                <w:color w:val="auto"/>
                <w:szCs w:val="21"/>
              </w:rPr>
              <w:t>3</w:t>
            </w:r>
          </w:p>
        </w:tc>
        <w:tc>
          <w:tcPr>
            <w:tcW w:w="705" w:type="dxa"/>
            <w:noWrap w:val="0"/>
            <w:vAlign w:val="top"/>
          </w:tcPr>
          <w:p w14:paraId="248E8102">
            <w:pPr>
              <w:spacing w:line="300" w:lineRule="exact"/>
              <w:jc w:val="center"/>
              <w:rPr>
                <w:rFonts w:hint="eastAsia" w:ascii="宋体" w:hAnsi="宋体" w:cs="宋体"/>
                <w:color w:val="auto"/>
                <w:sz w:val="30"/>
                <w:szCs w:val="30"/>
              </w:rPr>
            </w:pPr>
          </w:p>
        </w:tc>
      </w:tr>
      <w:tr w14:paraId="4E084F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30" w:type="dxa"/>
            <w:vMerge w:val="continue"/>
            <w:noWrap w:val="0"/>
            <w:textDirection w:val="tbRlV"/>
            <w:vAlign w:val="center"/>
          </w:tcPr>
          <w:p w14:paraId="2182A0E0">
            <w:pPr>
              <w:spacing w:line="300" w:lineRule="exact"/>
              <w:ind w:left="113" w:right="113"/>
              <w:jc w:val="center"/>
              <w:rPr>
                <w:rFonts w:hint="eastAsia" w:ascii="宋体" w:hAnsi="宋体" w:cs="宋体"/>
                <w:b/>
                <w:bCs/>
                <w:color w:val="auto"/>
                <w:szCs w:val="21"/>
              </w:rPr>
            </w:pPr>
          </w:p>
        </w:tc>
        <w:tc>
          <w:tcPr>
            <w:tcW w:w="6555" w:type="dxa"/>
            <w:gridSpan w:val="5"/>
            <w:noWrap w:val="0"/>
            <w:vAlign w:val="center"/>
          </w:tcPr>
          <w:p w14:paraId="396FE928">
            <w:pPr>
              <w:pStyle w:val="5"/>
              <w:snapToGrid w:val="0"/>
              <w:spacing w:beforeLines="0" w:afterLines="0" w:line="360" w:lineRule="exact"/>
              <w:ind w:left="105" w:leftChars="50" w:firstLine="0" w:firstLineChars="0"/>
              <w:rPr>
                <w:rFonts w:hint="eastAsia" w:ascii="宋体" w:hAnsi="宋体" w:cs="宋体"/>
                <w:color w:val="auto"/>
                <w:szCs w:val="21"/>
              </w:rPr>
            </w:pPr>
            <w:r>
              <w:rPr>
                <w:rFonts w:hint="eastAsia" w:ascii="宋体" w:hAnsi="宋体" w:cs="宋体"/>
                <w:color w:val="auto"/>
                <w:szCs w:val="21"/>
              </w:rPr>
              <w:t>22.无不提交有关表型、基因型、环境型相关信息（不含涉及商业秘密）的行为。</w:t>
            </w:r>
          </w:p>
        </w:tc>
        <w:tc>
          <w:tcPr>
            <w:tcW w:w="541" w:type="dxa"/>
            <w:gridSpan w:val="2"/>
            <w:noWrap w:val="0"/>
            <w:vAlign w:val="center"/>
          </w:tcPr>
          <w:p w14:paraId="00B401AF">
            <w:pPr>
              <w:spacing w:line="300" w:lineRule="exact"/>
              <w:jc w:val="center"/>
              <w:rPr>
                <w:rFonts w:hint="eastAsia" w:ascii="宋体" w:hAnsi="宋体" w:cs="宋体"/>
                <w:color w:val="auto"/>
                <w:szCs w:val="21"/>
              </w:rPr>
            </w:pPr>
            <w:r>
              <w:rPr>
                <w:rFonts w:hint="eastAsia" w:ascii="宋体" w:hAnsi="宋体" w:cs="宋体"/>
                <w:color w:val="auto"/>
                <w:szCs w:val="21"/>
              </w:rPr>
              <w:t>2</w:t>
            </w:r>
          </w:p>
        </w:tc>
        <w:tc>
          <w:tcPr>
            <w:tcW w:w="705" w:type="dxa"/>
            <w:noWrap w:val="0"/>
            <w:vAlign w:val="top"/>
          </w:tcPr>
          <w:p w14:paraId="22505AC6">
            <w:pPr>
              <w:spacing w:line="300" w:lineRule="exact"/>
              <w:jc w:val="center"/>
              <w:rPr>
                <w:rFonts w:hint="eastAsia" w:ascii="宋体" w:hAnsi="宋体" w:cs="宋体"/>
                <w:color w:val="auto"/>
                <w:sz w:val="30"/>
                <w:szCs w:val="30"/>
              </w:rPr>
            </w:pPr>
          </w:p>
        </w:tc>
      </w:tr>
      <w:tr w14:paraId="49BC7D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30" w:type="dxa"/>
            <w:vMerge w:val="continue"/>
            <w:noWrap w:val="0"/>
            <w:textDirection w:val="tbRlV"/>
            <w:vAlign w:val="center"/>
          </w:tcPr>
          <w:p w14:paraId="18B4D8D1">
            <w:pPr>
              <w:spacing w:line="300" w:lineRule="exact"/>
              <w:ind w:left="113" w:right="113"/>
              <w:jc w:val="center"/>
              <w:rPr>
                <w:rFonts w:hint="eastAsia" w:ascii="宋体" w:hAnsi="宋体" w:cs="宋体"/>
                <w:b/>
                <w:bCs/>
                <w:color w:val="auto"/>
                <w:szCs w:val="21"/>
              </w:rPr>
            </w:pPr>
          </w:p>
        </w:tc>
        <w:tc>
          <w:tcPr>
            <w:tcW w:w="6555" w:type="dxa"/>
            <w:gridSpan w:val="5"/>
            <w:noWrap w:val="0"/>
            <w:vAlign w:val="center"/>
          </w:tcPr>
          <w:p w14:paraId="680694AE">
            <w:pPr>
              <w:pStyle w:val="5"/>
              <w:snapToGrid w:val="0"/>
              <w:spacing w:beforeLines="0" w:afterLines="0" w:line="360" w:lineRule="exact"/>
              <w:ind w:left="105" w:leftChars="50" w:firstLine="0" w:firstLineChars="0"/>
              <w:rPr>
                <w:rFonts w:hint="eastAsia" w:ascii="宋体" w:hAnsi="宋体" w:cs="宋体"/>
                <w:color w:val="auto"/>
                <w:szCs w:val="21"/>
              </w:rPr>
            </w:pPr>
            <w:r>
              <w:rPr>
                <w:rFonts w:hint="eastAsia" w:ascii="宋体" w:hAnsi="宋体" w:cs="宋体"/>
                <w:color w:val="auto"/>
                <w:szCs w:val="21"/>
              </w:rPr>
              <w:t>23.至迟于有效期截止或暂缓复查期结束日前3个月提出复查申请。（仅适用于复查，如是初次申请，此项满分</w:t>
            </w:r>
            <w:r>
              <w:rPr>
                <w:rFonts w:hint="eastAsia" w:ascii="宋体" w:hAnsi="宋体" w:cs="宋体"/>
                <w:color w:val="auto"/>
                <w:szCs w:val="21"/>
                <w:lang w:eastAsia="zh-CN"/>
              </w:rPr>
              <w:t>）</w:t>
            </w:r>
            <w:r>
              <w:rPr>
                <w:rFonts w:hint="eastAsia" w:ascii="宋体" w:hAnsi="宋体" w:cs="宋体"/>
                <w:color w:val="auto"/>
                <w:szCs w:val="21"/>
              </w:rPr>
              <w:t>。</w:t>
            </w:r>
          </w:p>
        </w:tc>
        <w:tc>
          <w:tcPr>
            <w:tcW w:w="541" w:type="dxa"/>
            <w:gridSpan w:val="2"/>
            <w:noWrap w:val="0"/>
            <w:vAlign w:val="center"/>
          </w:tcPr>
          <w:p w14:paraId="132A8AA9">
            <w:pPr>
              <w:spacing w:line="300" w:lineRule="exact"/>
              <w:jc w:val="center"/>
              <w:rPr>
                <w:rFonts w:hint="eastAsia" w:ascii="宋体" w:hAnsi="宋体" w:cs="宋体"/>
                <w:color w:val="auto"/>
                <w:szCs w:val="21"/>
              </w:rPr>
            </w:pPr>
            <w:r>
              <w:rPr>
                <w:rFonts w:hint="eastAsia" w:ascii="宋体" w:hAnsi="宋体" w:cs="宋体"/>
                <w:color w:val="auto"/>
                <w:szCs w:val="21"/>
              </w:rPr>
              <w:t>2</w:t>
            </w:r>
          </w:p>
        </w:tc>
        <w:tc>
          <w:tcPr>
            <w:tcW w:w="705" w:type="dxa"/>
            <w:noWrap w:val="0"/>
            <w:vAlign w:val="top"/>
          </w:tcPr>
          <w:p w14:paraId="5E827D01">
            <w:pPr>
              <w:spacing w:line="300" w:lineRule="exact"/>
              <w:jc w:val="center"/>
              <w:rPr>
                <w:rFonts w:hint="eastAsia" w:ascii="宋体" w:hAnsi="宋体" w:cs="宋体"/>
                <w:color w:val="auto"/>
                <w:sz w:val="30"/>
                <w:szCs w:val="30"/>
              </w:rPr>
            </w:pPr>
          </w:p>
        </w:tc>
      </w:tr>
      <w:tr w14:paraId="1F4C35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30" w:type="dxa"/>
            <w:vMerge w:val="continue"/>
            <w:noWrap w:val="0"/>
            <w:textDirection w:val="tbRlV"/>
            <w:vAlign w:val="center"/>
          </w:tcPr>
          <w:p w14:paraId="0656F9B2">
            <w:pPr>
              <w:spacing w:line="300" w:lineRule="exact"/>
              <w:ind w:left="113" w:right="113"/>
              <w:jc w:val="center"/>
              <w:rPr>
                <w:rFonts w:hint="eastAsia" w:ascii="宋体" w:hAnsi="宋体" w:cs="宋体"/>
                <w:b/>
                <w:bCs/>
                <w:color w:val="auto"/>
                <w:szCs w:val="21"/>
              </w:rPr>
            </w:pPr>
          </w:p>
        </w:tc>
        <w:tc>
          <w:tcPr>
            <w:tcW w:w="6555" w:type="dxa"/>
            <w:gridSpan w:val="5"/>
            <w:noWrap w:val="0"/>
            <w:vAlign w:val="center"/>
          </w:tcPr>
          <w:p w14:paraId="663C7F80">
            <w:pPr>
              <w:pStyle w:val="5"/>
              <w:snapToGrid w:val="0"/>
              <w:spacing w:beforeLines="0" w:afterLines="0" w:line="360" w:lineRule="exact"/>
              <w:ind w:left="105" w:leftChars="50" w:firstLine="0" w:firstLineChars="0"/>
              <w:rPr>
                <w:rFonts w:hint="eastAsia" w:ascii="宋体" w:hAnsi="宋体" w:cs="宋体"/>
                <w:color w:val="auto"/>
                <w:szCs w:val="21"/>
              </w:rPr>
            </w:pPr>
            <w:r>
              <w:rPr>
                <w:rFonts w:hint="eastAsia" w:ascii="宋体" w:hAnsi="宋体" w:cs="宋体"/>
                <w:color w:val="auto"/>
                <w:szCs w:val="21"/>
              </w:rPr>
              <w:t>24.企业通过ISO或HACCP等标准化认证或为AA级以上信誉企业。事业单位获得优秀文明单位称号等。</w:t>
            </w:r>
          </w:p>
        </w:tc>
        <w:tc>
          <w:tcPr>
            <w:tcW w:w="541" w:type="dxa"/>
            <w:gridSpan w:val="2"/>
            <w:noWrap w:val="0"/>
            <w:vAlign w:val="center"/>
          </w:tcPr>
          <w:p w14:paraId="6AAE935C">
            <w:pPr>
              <w:spacing w:line="300" w:lineRule="exact"/>
              <w:jc w:val="center"/>
              <w:rPr>
                <w:rFonts w:hint="eastAsia" w:ascii="宋体" w:hAnsi="宋体" w:cs="宋体"/>
                <w:color w:val="auto"/>
                <w:szCs w:val="21"/>
              </w:rPr>
            </w:pPr>
            <w:r>
              <w:rPr>
                <w:rFonts w:hint="eastAsia" w:ascii="宋体" w:hAnsi="宋体" w:cs="宋体"/>
                <w:color w:val="auto"/>
                <w:szCs w:val="21"/>
              </w:rPr>
              <w:t>2</w:t>
            </w:r>
          </w:p>
        </w:tc>
        <w:tc>
          <w:tcPr>
            <w:tcW w:w="705" w:type="dxa"/>
            <w:noWrap w:val="0"/>
            <w:vAlign w:val="top"/>
          </w:tcPr>
          <w:p w14:paraId="1D6C51FC">
            <w:pPr>
              <w:spacing w:line="300" w:lineRule="exact"/>
              <w:jc w:val="center"/>
              <w:rPr>
                <w:rFonts w:hint="eastAsia" w:ascii="宋体" w:hAnsi="宋体" w:cs="宋体"/>
                <w:color w:val="auto"/>
                <w:sz w:val="30"/>
                <w:szCs w:val="30"/>
              </w:rPr>
            </w:pPr>
          </w:p>
        </w:tc>
      </w:tr>
      <w:tr w14:paraId="7FCC15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30" w:type="dxa"/>
            <w:vMerge w:val="continue"/>
            <w:noWrap w:val="0"/>
            <w:textDirection w:val="tbRlV"/>
            <w:vAlign w:val="center"/>
          </w:tcPr>
          <w:p w14:paraId="1F2C5BF2">
            <w:pPr>
              <w:spacing w:line="300" w:lineRule="exact"/>
              <w:ind w:left="113" w:right="113"/>
              <w:jc w:val="center"/>
              <w:rPr>
                <w:rFonts w:hint="eastAsia" w:ascii="宋体" w:hAnsi="宋体" w:cs="宋体"/>
                <w:b/>
                <w:bCs/>
                <w:color w:val="auto"/>
                <w:szCs w:val="21"/>
              </w:rPr>
            </w:pPr>
          </w:p>
        </w:tc>
        <w:tc>
          <w:tcPr>
            <w:tcW w:w="6555" w:type="dxa"/>
            <w:gridSpan w:val="5"/>
            <w:noWrap w:val="0"/>
            <w:vAlign w:val="center"/>
          </w:tcPr>
          <w:p w14:paraId="2994867E">
            <w:pPr>
              <w:pStyle w:val="5"/>
              <w:snapToGrid w:val="0"/>
              <w:spacing w:beforeLines="0" w:afterLines="0" w:line="360" w:lineRule="exact"/>
              <w:ind w:left="105" w:leftChars="50" w:firstLine="0" w:firstLineChars="0"/>
              <w:rPr>
                <w:rFonts w:hint="eastAsia" w:ascii="宋体" w:hAnsi="宋体" w:cs="宋体"/>
                <w:color w:val="auto"/>
                <w:szCs w:val="21"/>
              </w:rPr>
            </w:pPr>
            <w:r>
              <w:rPr>
                <w:rFonts w:hint="eastAsia" w:ascii="宋体" w:hAnsi="宋体" w:cs="宋体"/>
                <w:color w:val="auto"/>
                <w:szCs w:val="21"/>
              </w:rPr>
              <w:t>25.近3年未发生重大安全生产事故。</w:t>
            </w:r>
          </w:p>
        </w:tc>
        <w:tc>
          <w:tcPr>
            <w:tcW w:w="541" w:type="dxa"/>
            <w:gridSpan w:val="2"/>
            <w:noWrap w:val="0"/>
            <w:vAlign w:val="center"/>
          </w:tcPr>
          <w:p w14:paraId="58733AD1">
            <w:pPr>
              <w:spacing w:line="300" w:lineRule="exact"/>
              <w:jc w:val="center"/>
              <w:rPr>
                <w:rFonts w:hint="eastAsia" w:ascii="宋体" w:hAnsi="宋体" w:cs="宋体"/>
                <w:color w:val="auto"/>
                <w:szCs w:val="21"/>
              </w:rPr>
            </w:pPr>
            <w:r>
              <w:rPr>
                <w:rFonts w:hint="eastAsia" w:ascii="宋体" w:hAnsi="宋体" w:cs="宋体"/>
                <w:color w:val="auto"/>
                <w:szCs w:val="21"/>
              </w:rPr>
              <w:t>2</w:t>
            </w:r>
          </w:p>
        </w:tc>
        <w:tc>
          <w:tcPr>
            <w:tcW w:w="705" w:type="dxa"/>
            <w:noWrap w:val="0"/>
            <w:vAlign w:val="top"/>
          </w:tcPr>
          <w:p w14:paraId="340318D2">
            <w:pPr>
              <w:spacing w:line="300" w:lineRule="exact"/>
              <w:jc w:val="center"/>
              <w:rPr>
                <w:rFonts w:hint="eastAsia" w:ascii="宋体" w:hAnsi="宋体" w:cs="宋体"/>
                <w:color w:val="auto"/>
                <w:sz w:val="30"/>
                <w:szCs w:val="30"/>
              </w:rPr>
            </w:pPr>
          </w:p>
        </w:tc>
      </w:tr>
      <w:tr w14:paraId="45622D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7185" w:type="dxa"/>
            <w:gridSpan w:val="6"/>
            <w:noWrap w:val="0"/>
            <w:vAlign w:val="center"/>
          </w:tcPr>
          <w:p w14:paraId="4F1C5706">
            <w:pPr>
              <w:spacing w:line="300" w:lineRule="exact"/>
              <w:jc w:val="center"/>
              <w:rPr>
                <w:rFonts w:hint="eastAsia" w:ascii="宋体" w:hAnsi="宋体" w:cs="宋体"/>
                <w:b/>
                <w:bCs/>
                <w:color w:val="auto"/>
                <w:szCs w:val="21"/>
              </w:rPr>
            </w:pPr>
            <w:r>
              <w:rPr>
                <w:rFonts w:hint="eastAsia" w:ascii="宋体" w:hAnsi="宋体" w:cs="宋体"/>
                <w:b/>
                <w:bCs/>
                <w:color w:val="auto"/>
                <w:szCs w:val="21"/>
              </w:rPr>
              <w:t>合　计</w:t>
            </w:r>
          </w:p>
        </w:tc>
        <w:tc>
          <w:tcPr>
            <w:tcW w:w="541" w:type="dxa"/>
            <w:gridSpan w:val="2"/>
            <w:noWrap w:val="0"/>
            <w:vAlign w:val="center"/>
          </w:tcPr>
          <w:p w14:paraId="5E55D0A9">
            <w:pPr>
              <w:spacing w:line="300" w:lineRule="exact"/>
              <w:jc w:val="center"/>
              <w:rPr>
                <w:rFonts w:hint="eastAsia" w:ascii="宋体" w:hAnsi="宋体" w:cs="宋体"/>
                <w:b/>
                <w:bCs/>
                <w:color w:val="auto"/>
                <w:szCs w:val="21"/>
              </w:rPr>
            </w:pPr>
            <w:r>
              <w:rPr>
                <w:rFonts w:hint="eastAsia" w:ascii="宋体" w:hAnsi="宋体" w:cs="宋体"/>
                <w:b/>
                <w:bCs/>
                <w:color w:val="auto"/>
                <w:szCs w:val="21"/>
              </w:rPr>
              <w:t>100</w:t>
            </w:r>
          </w:p>
        </w:tc>
        <w:tc>
          <w:tcPr>
            <w:tcW w:w="705" w:type="dxa"/>
            <w:noWrap w:val="0"/>
            <w:vAlign w:val="top"/>
          </w:tcPr>
          <w:p w14:paraId="4FBE0E47">
            <w:pPr>
              <w:spacing w:line="300" w:lineRule="exact"/>
              <w:jc w:val="center"/>
              <w:rPr>
                <w:rFonts w:hint="eastAsia" w:ascii="宋体" w:hAnsi="宋体" w:cs="宋体"/>
                <w:color w:val="auto"/>
                <w:sz w:val="30"/>
                <w:szCs w:val="30"/>
              </w:rPr>
            </w:pPr>
          </w:p>
        </w:tc>
      </w:tr>
    </w:tbl>
    <w:p w14:paraId="5139D67A">
      <w:pPr>
        <w:ind w:left="641" w:hanging="641" w:hangingChars="304"/>
        <w:rPr>
          <w:color w:val="auto"/>
        </w:rPr>
      </w:pPr>
      <w:r>
        <w:rPr>
          <w:rFonts w:hint="eastAsia"/>
          <w:b/>
          <w:bCs/>
          <w:color w:val="auto"/>
        </w:rPr>
        <w:t>说明：</w:t>
      </w:r>
      <w:r>
        <w:rPr>
          <w:rFonts w:hint="eastAsia"/>
          <w:color w:val="auto"/>
        </w:rPr>
        <w:t>对各项指标进行打分，分数保留小数点后一位，单项内容最低分为0分，一般情况下，考核依据的数据以上年和本年度现有数据为准。</w:t>
      </w:r>
    </w:p>
    <w:p w14:paraId="26D99772">
      <w:pPr>
        <w:pStyle w:val="2"/>
      </w:pPr>
    </w:p>
    <w:p w14:paraId="53E2E9E8"/>
    <w:sectPr>
      <w:pgSz w:w="11906" w:h="16838"/>
      <w:pgMar w:top="1440" w:right="1576" w:bottom="144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4339FF"/>
    <w:rsid w:val="0D8F1701"/>
    <w:rsid w:val="3D433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lock Text"/>
    <w:basedOn w:val="1"/>
    <w:next w:val="1"/>
    <w:uiPriority w:val="0"/>
    <w:pPr>
      <w:spacing w:after="120"/>
      <w:ind w:left="1440" w:leftChars="700" w:right="1440" w:rightChars="700"/>
    </w:pPr>
  </w:style>
  <w:style w:type="paragraph" w:customStyle="1" w:styleId="5">
    <w:name w:val="列表段落1"/>
    <w:basedOn w:val="1"/>
    <w:qFormat/>
    <w:uiPriority w:val="0"/>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1066</Words>
  <Characters>1132</Characters>
  <Lines>0</Lines>
  <Paragraphs>0</Paragraphs>
  <TotalTime>0</TotalTime>
  <ScaleCrop>false</ScaleCrop>
  <LinksUpToDate>false</LinksUpToDate>
  <CharactersWithSpaces>1133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2026-01-27T02:35:00Z</dcterms:created>
  <dc:creator>李敏</dc:creator>
  <cp:lastModifiedBy>李敏</cp:lastModifiedBy>
  <dcterms:modified xsi:type="dcterms:W3CDTF">2026-01-27T02:37:46Z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FE9EE11AA7F44641A893899FBCA90BF0_11</vt:lpwstr>
  </property>
  <property fmtid="{D5CDD505-2E9C-101B-9397-08002B2CF9AE}" pid="4" name="KSOTemplateDocerSaveRecord">
    <vt:lpwstr>eyJoZGlkIjoiMmUyYmI0NzFiOTllNTNhYjQzN2RiNmRkODVlNjNiM2QiLCJ1c2VySWQiOiIxMDYwMDc1MTc4In0=</vt:lpwstr>
  </property>
</Properties>
</file>