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D8BB0">
      <w:pPr>
        <w:spacing w:line="520" w:lineRule="exact"/>
        <w:rPr>
          <w:rFonts w:ascii="黑体" w:hAnsi="黑体" w:eastAsia="黑体" w:cs="黑体"/>
          <w:color w:val="auto"/>
          <w:sz w:val="32"/>
          <w:szCs w:val="32"/>
        </w:rPr>
      </w:pPr>
      <w:bookmarkStart w:id="0" w:name="_GoBack"/>
      <w:bookmarkEnd w:id="0"/>
      <w:r>
        <w:rPr>
          <w:rFonts w:hint="eastAsia" w:ascii="黑体" w:hAnsi="黑体" w:eastAsia="黑体" w:cs="黑体"/>
          <w:color w:val="auto"/>
          <w:sz w:val="32"/>
          <w:szCs w:val="32"/>
        </w:rPr>
        <w:t>附件</w:t>
      </w:r>
      <w:r>
        <w:rPr>
          <w:rFonts w:ascii="黑体" w:hAnsi="黑体" w:eastAsia="黑体" w:cs="黑体"/>
          <w:color w:val="auto"/>
          <w:sz w:val="32"/>
          <w:szCs w:val="32"/>
        </w:rPr>
        <w:t>9</w:t>
      </w:r>
    </w:p>
    <w:p w14:paraId="40627639">
      <w:pPr>
        <w:spacing w:line="520" w:lineRule="exact"/>
        <w:rPr>
          <w:rFonts w:ascii="黑体" w:hAnsi="黑体" w:eastAsia="黑体" w:cs="黑体"/>
          <w:color w:val="auto"/>
          <w:sz w:val="32"/>
          <w:szCs w:val="32"/>
        </w:rPr>
      </w:pPr>
    </w:p>
    <w:p w14:paraId="6BEEC9C1">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北京市</w:t>
      </w:r>
      <w:r>
        <w:rPr>
          <w:rFonts w:hint="eastAsia" w:ascii="方正小标宋简体" w:hAnsi="方正小标宋简体" w:eastAsia="方正小标宋简体" w:cs="方正小标宋简体"/>
          <w:color w:val="auto"/>
          <w:kern w:val="0"/>
          <w:sz w:val="44"/>
          <w:szCs w:val="44"/>
        </w:rPr>
        <w:t>市级</w:t>
      </w:r>
      <w:r>
        <w:rPr>
          <w:rFonts w:hint="eastAsia" w:ascii="方正小标宋简体" w:hAnsi="方正小标宋简体" w:eastAsia="方正小标宋简体" w:cs="方正小标宋简体"/>
          <w:color w:val="auto"/>
          <w:sz w:val="44"/>
          <w:szCs w:val="44"/>
        </w:rPr>
        <w:t>动物病原微生物种质资源库考评表</w:t>
      </w:r>
    </w:p>
    <w:tbl>
      <w:tblPr>
        <w:tblStyle w:val="3"/>
        <w:tblpPr w:leftFromText="180" w:rightFromText="180" w:vertAnchor="text" w:tblpXSpec="center" w:tblpY="1"/>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45"/>
        <w:gridCol w:w="690"/>
        <w:gridCol w:w="2535"/>
        <w:gridCol w:w="1005"/>
        <w:gridCol w:w="1380"/>
        <w:gridCol w:w="930"/>
        <w:gridCol w:w="90"/>
        <w:gridCol w:w="451"/>
        <w:gridCol w:w="705"/>
      </w:tblGrid>
      <w:tr w14:paraId="5E0A43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52" w:hRule="atLeast"/>
          <w:jc w:val="center"/>
        </w:trPr>
        <w:tc>
          <w:tcPr>
            <w:tcW w:w="1335" w:type="dxa"/>
            <w:gridSpan w:val="2"/>
            <w:noWrap w:val="0"/>
            <w:vAlign w:val="center"/>
          </w:tcPr>
          <w:p w14:paraId="1C9C7CF6">
            <w:pPr>
              <w:autoSpaceDE w:val="0"/>
              <w:autoSpaceDN w:val="0"/>
              <w:spacing w:line="260" w:lineRule="exact"/>
              <w:jc w:val="center"/>
              <w:rPr>
                <w:color w:val="auto"/>
                <w:szCs w:val="21"/>
              </w:rPr>
            </w:pPr>
            <w:r>
              <w:rPr>
                <w:rFonts w:hint="eastAsia" w:ascii="黑体" w:hAnsi="黑体" w:eastAsia="黑体" w:cs="黑体"/>
                <w:bCs/>
                <w:color w:val="auto"/>
                <w:kern w:val="0"/>
                <w:sz w:val="24"/>
              </w:rPr>
              <w:t>被考评单位</w:t>
            </w:r>
          </w:p>
        </w:tc>
        <w:tc>
          <w:tcPr>
            <w:tcW w:w="2535" w:type="dxa"/>
            <w:noWrap w:val="0"/>
            <w:vAlign w:val="center"/>
          </w:tcPr>
          <w:p w14:paraId="7BFB7AB3">
            <w:pPr>
              <w:autoSpaceDE w:val="0"/>
              <w:autoSpaceDN w:val="0"/>
              <w:spacing w:line="260" w:lineRule="exact"/>
              <w:rPr>
                <w:color w:val="auto"/>
                <w:szCs w:val="21"/>
              </w:rPr>
            </w:pPr>
          </w:p>
        </w:tc>
        <w:tc>
          <w:tcPr>
            <w:tcW w:w="1005" w:type="dxa"/>
            <w:noWrap w:val="0"/>
            <w:vAlign w:val="center"/>
          </w:tcPr>
          <w:p w14:paraId="13CA56FD">
            <w:pPr>
              <w:autoSpaceDE w:val="0"/>
              <w:autoSpaceDN w:val="0"/>
              <w:spacing w:line="260" w:lineRule="exact"/>
              <w:jc w:val="center"/>
              <w:rPr>
                <w:color w:val="auto"/>
                <w:szCs w:val="21"/>
              </w:rPr>
            </w:pPr>
            <w:r>
              <w:rPr>
                <w:rFonts w:hint="eastAsia" w:ascii="黑体" w:hAnsi="黑体" w:eastAsia="黑体" w:cs="黑体"/>
                <w:bCs/>
                <w:color w:val="auto"/>
                <w:kern w:val="0"/>
                <w:sz w:val="24"/>
              </w:rPr>
              <w:t>专家签字</w:t>
            </w:r>
          </w:p>
        </w:tc>
        <w:tc>
          <w:tcPr>
            <w:tcW w:w="1380" w:type="dxa"/>
            <w:noWrap w:val="0"/>
            <w:vAlign w:val="center"/>
          </w:tcPr>
          <w:p w14:paraId="1C2AA9FF">
            <w:pPr>
              <w:autoSpaceDE w:val="0"/>
              <w:autoSpaceDN w:val="0"/>
              <w:spacing w:line="260" w:lineRule="exact"/>
              <w:jc w:val="center"/>
              <w:rPr>
                <w:color w:val="auto"/>
                <w:szCs w:val="21"/>
              </w:rPr>
            </w:pPr>
          </w:p>
        </w:tc>
        <w:tc>
          <w:tcPr>
            <w:tcW w:w="1020" w:type="dxa"/>
            <w:gridSpan w:val="2"/>
            <w:noWrap w:val="0"/>
            <w:vAlign w:val="center"/>
          </w:tcPr>
          <w:p w14:paraId="570F46E7">
            <w:pPr>
              <w:autoSpaceDE w:val="0"/>
              <w:autoSpaceDN w:val="0"/>
              <w:spacing w:line="260" w:lineRule="exact"/>
              <w:jc w:val="center"/>
              <w:rPr>
                <w:color w:val="auto"/>
                <w:szCs w:val="21"/>
              </w:rPr>
            </w:pPr>
            <w:r>
              <w:rPr>
                <w:rFonts w:hint="eastAsia" w:ascii="黑体" w:hAnsi="黑体" w:eastAsia="黑体" w:cs="黑体"/>
                <w:bCs/>
                <w:color w:val="auto"/>
                <w:kern w:val="0"/>
                <w:sz w:val="24"/>
              </w:rPr>
              <w:t>填表日期</w:t>
            </w:r>
          </w:p>
        </w:tc>
        <w:tc>
          <w:tcPr>
            <w:tcW w:w="1156" w:type="dxa"/>
            <w:gridSpan w:val="2"/>
            <w:noWrap w:val="0"/>
            <w:vAlign w:val="top"/>
          </w:tcPr>
          <w:p w14:paraId="01FBA326">
            <w:pPr>
              <w:autoSpaceDE w:val="0"/>
              <w:autoSpaceDN w:val="0"/>
              <w:spacing w:line="260" w:lineRule="exact"/>
              <w:ind w:firstLine="105" w:firstLineChars="50"/>
              <w:rPr>
                <w:color w:val="auto"/>
                <w:szCs w:val="21"/>
              </w:rPr>
            </w:pPr>
          </w:p>
        </w:tc>
      </w:tr>
      <w:tr w14:paraId="1B6D31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726" w:type="dxa"/>
            <w:gridSpan w:val="8"/>
            <w:noWrap w:val="0"/>
            <w:vAlign w:val="center"/>
          </w:tcPr>
          <w:p w14:paraId="19616795">
            <w:pPr>
              <w:jc w:val="center"/>
              <w:rPr>
                <w:color w:val="auto"/>
                <w:sz w:val="24"/>
              </w:rPr>
            </w:pPr>
            <w:r>
              <w:rPr>
                <w:rFonts w:eastAsia="黑体"/>
                <w:bCs/>
                <w:color w:val="auto"/>
                <w:sz w:val="24"/>
              </w:rPr>
              <w:t>按以下标准评分（共</w:t>
            </w:r>
            <w:r>
              <w:rPr>
                <w:rFonts w:hint="eastAsia" w:eastAsia="黑体"/>
                <w:bCs/>
                <w:color w:val="auto"/>
                <w:sz w:val="24"/>
              </w:rPr>
              <w:t>2</w:t>
            </w:r>
            <w:r>
              <w:rPr>
                <w:rFonts w:eastAsia="黑体"/>
                <w:bCs/>
                <w:color w:val="auto"/>
                <w:sz w:val="24"/>
              </w:rPr>
              <w:t>2项）</w:t>
            </w:r>
          </w:p>
        </w:tc>
        <w:tc>
          <w:tcPr>
            <w:tcW w:w="705" w:type="dxa"/>
            <w:noWrap w:val="0"/>
            <w:vAlign w:val="top"/>
          </w:tcPr>
          <w:p w14:paraId="5E8BFC1E">
            <w:pPr>
              <w:spacing w:line="220" w:lineRule="exact"/>
              <w:jc w:val="center"/>
              <w:rPr>
                <w:color w:val="auto"/>
                <w:sz w:val="30"/>
                <w:szCs w:val="30"/>
              </w:rPr>
            </w:pPr>
          </w:p>
        </w:tc>
      </w:tr>
      <w:tr w14:paraId="206992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noWrap w:val="0"/>
            <w:vAlign w:val="center"/>
          </w:tcPr>
          <w:p w14:paraId="1B0D6F0D">
            <w:pPr>
              <w:spacing w:line="220" w:lineRule="exact"/>
              <w:jc w:val="center"/>
              <w:rPr>
                <w:rFonts w:eastAsia="黑体"/>
                <w:color w:val="auto"/>
                <w:szCs w:val="21"/>
              </w:rPr>
            </w:pPr>
            <w:r>
              <w:rPr>
                <w:rFonts w:eastAsia="黑体"/>
                <w:color w:val="auto"/>
                <w:szCs w:val="21"/>
              </w:rPr>
              <w:t>考评</w:t>
            </w:r>
          </w:p>
          <w:p w14:paraId="7671B1FB">
            <w:pPr>
              <w:spacing w:line="220" w:lineRule="exact"/>
              <w:jc w:val="center"/>
              <w:rPr>
                <w:rFonts w:eastAsia="黑体"/>
                <w:color w:val="auto"/>
                <w:szCs w:val="21"/>
              </w:rPr>
            </w:pPr>
            <w:r>
              <w:rPr>
                <w:rFonts w:eastAsia="黑体"/>
                <w:color w:val="auto"/>
                <w:szCs w:val="21"/>
              </w:rPr>
              <w:t>项目</w:t>
            </w:r>
          </w:p>
        </w:tc>
        <w:tc>
          <w:tcPr>
            <w:tcW w:w="6540" w:type="dxa"/>
            <w:gridSpan w:val="5"/>
            <w:noWrap w:val="0"/>
            <w:vAlign w:val="center"/>
          </w:tcPr>
          <w:p w14:paraId="72516FC5">
            <w:pPr>
              <w:spacing w:line="220" w:lineRule="exact"/>
              <w:jc w:val="center"/>
              <w:rPr>
                <w:rFonts w:eastAsia="黑体"/>
                <w:color w:val="auto"/>
                <w:szCs w:val="21"/>
              </w:rPr>
            </w:pPr>
            <w:r>
              <w:rPr>
                <w:rFonts w:eastAsia="黑体"/>
                <w:color w:val="auto"/>
                <w:szCs w:val="21"/>
              </w:rPr>
              <w:t>具体考核指标</w:t>
            </w:r>
          </w:p>
        </w:tc>
        <w:tc>
          <w:tcPr>
            <w:tcW w:w="541" w:type="dxa"/>
            <w:gridSpan w:val="2"/>
            <w:noWrap w:val="0"/>
            <w:vAlign w:val="center"/>
          </w:tcPr>
          <w:p w14:paraId="1E0A65E4">
            <w:pPr>
              <w:spacing w:line="220" w:lineRule="exact"/>
              <w:jc w:val="center"/>
              <w:rPr>
                <w:rFonts w:eastAsia="黑体"/>
                <w:color w:val="auto"/>
                <w:szCs w:val="21"/>
              </w:rPr>
            </w:pPr>
            <w:r>
              <w:rPr>
                <w:rFonts w:eastAsia="黑体"/>
                <w:color w:val="auto"/>
                <w:szCs w:val="21"/>
              </w:rPr>
              <w:t>分值</w:t>
            </w:r>
          </w:p>
        </w:tc>
        <w:tc>
          <w:tcPr>
            <w:tcW w:w="705" w:type="dxa"/>
            <w:noWrap w:val="0"/>
            <w:vAlign w:val="center"/>
          </w:tcPr>
          <w:p w14:paraId="70BC040D">
            <w:pPr>
              <w:spacing w:line="220" w:lineRule="exact"/>
              <w:jc w:val="center"/>
              <w:rPr>
                <w:rFonts w:eastAsia="黑体"/>
                <w:color w:val="auto"/>
                <w:szCs w:val="21"/>
              </w:rPr>
            </w:pPr>
            <w:r>
              <w:rPr>
                <w:rFonts w:eastAsia="黑体"/>
                <w:color w:val="auto"/>
                <w:szCs w:val="21"/>
              </w:rPr>
              <w:t>得分</w:t>
            </w:r>
          </w:p>
        </w:tc>
      </w:tr>
      <w:tr w14:paraId="2F8EE4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restart"/>
            <w:noWrap w:val="0"/>
            <w:tcMar>
              <w:top w:w="0" w:type="dxa"/>
              <w:left w:w="0" w:type="dxa"/>
              <w:bottom w:w="0" w:type="dxa"/>
              <w:right w:w="0" w:type="dxa"/>
            </w:tcMar>
            <w:vAlign w:val="center"/>
          </w:tcPr>
          <w:p w14:paraId="60BE4FA4">
            <w:pPr>
              <w:spacing w:line="300" w:lineRule="exact"/>
              <w:jc w:val="center"/>
              <w:rPr>
                <w:rFonts w:hint="eastAsia" w:ascii="宋体" w:hAnsi="宋体" w:cs="宋体"/>
                <w:color w:val="auto"/>
                <w:szCs w:val="21"/>
              </w:rPr>
            </w:pPr>
          </w:p>
          <w:p w14:paraId="7A170CCF">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基</w:t>
            </w:r>
          </w:p>
          <w:p w14:paraId="6F116119">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础</w:t>
            </w:r>
          </w:p>
          <w:p w14:paraId="3572EB87">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条</w:t>
            </w:r>
          </w:p>
          <w:p w14:paraId="2B5A61CD">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件</w:t>
            </w:r>
          </w:p>
          <w:p w14:paraId="4425DDE2">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（40）</w:t>
            </w:r>
          </w:p>
          <w:p w14:paraId="3FA463A1">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分</w:t>
            </w:r>
          </w:p>
          <w:p w14:paraId="7F6C758A">
            <w:pPr>
              <w:adjustRightInd w:val="0"/>
              <w:snapToGrid w:val="0"/>
              <w:jc w:val="center"/>
              <w:rPr>
                <w:rFonts w:hint="eastAsia" w:ascii="宋体" w:hAnsi="宋体" w:cs="宋体"/>
                <w:color w:val="auto"/>
                <w:szCs w:val="21"/>
              </w:rPr>
            </w:pPr>
          </w:p>
        </w:tc>
        <w:tc>
          <w:tcPr>
            <w:tcW w:w="6540" w:type="dxa"/>
            <w:gridSpan w:val="5"/>
            <w:noWrap w:val="0"/>
            <w:vAlign w:val="center"/>
          </w:tcPr>
          <w:p w14:paraId="05BEFFC5">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1.具备微生物保藏室等设施面积不小于15m</w:t>
            </w:r>
            <w:r>
              <w:rPr>
                <w:rFonts w:hint="eastAsia" w:ascii="宋体" w:hAnsi="宋体" w:cs="宋体"/>
                <w:color w:val="auto"/>
                <w:szCs w:val="21"/>
                <w:vertAlign w:val="superscript"/>
              </w:rPr>
              <w:t>2</w:t>
            </w:r>
            <w:r>
              <w:rPr>
                <w:rFonts w:hint="eastAsia" w:ascii="宋体" w:hAnsi="宋体" w:cs="宋体"/>
                <w:color w:val="auto"/>
                <w:szCs w:val="21"/>
              </w:rPr>
              <w:t>。</w:t>
            </w:r>
          </w:p>
        </w:tc>
        <w:tc>
          <w:tcPr>
            <w:tcW w:w="541" w:type="dxa"/>
            <w:gridSpan w:val="2"/>
            <w:noWrap w:val="0"/>
            <w:vAlign w:val="center"/>
          </w:tcPr>
          <w:p w14:paraId="6760DC6E">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0CE6A551">
            <w:pPr>
              <w:spacing w:line="220" w:lineRule="exact"/>
              <w:jc w:val="center"/>
              <w:rPr>
                <w:rFonts w:hint="eastAsia" w:ascii="宋体" w:hAnsi="宋体" w:cs="宋体"/>
                <w:color w:val="auto"/>
                <w:sz w:val="30"/>
                <w:szCs w:val="30"/>
              </w:rPr>
            </w:pPr>
          </w:p>
        </w:tc>
      </w:tr>
      <w:tr w14:paraId="228B47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0D397D4E">
            <w:pPr>
              <w:spacing w:line="220" w:lineRule="exact"/>
              <w:ind w:left="113" w:right="113"/>
              <w:jc w:val="center"/>
              <w:rPr>
                <w:rFonts w:hint="eastAsia" w:ascii="宋体" w:hAnsi="宋体" w:cs="宋体"/>
                <w:color w:val="auto"/>
                <w:szCs w:val="21"/>
              </w:rPr>
            </w:pPr>
          </w:p>
        </w:tc>
        <w:tc>
          <w:tcPr>
            <w:tcW w:w="6540" w:type="dxa"/>
            <w:gridSpan w:val="5"/>
            <w:noWrap w:val="0"/>
            <w:vAlign w:val="center"/>
          </w:tcPr>
          <w:p w14:paraId="79782100">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2.具备生物安全柜、生化培养箱、二氧化碳培养箱、可控温摇床、高压灭菌锅、显微镜等设备，保障动物病原微生物分离、观察和常规培养条件。</w:t>
            </w:r>
          </w:p>
        </w:tc>
        <w:tc>
          <w:tcPr>
            <w:tcW w:w="541" w:type="dxa"/>
            <w:gridSpan w:val="2"/>
            <w:noWrap w:val="0"/>
            <w:vAlign w:val="center"/>
          </w:tcPr>
          <w:p w14:paraId="3E94D505">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3F5441E9">
            <w:pPr>
              <w:spacing w:line="220" w:lineRule="exact"/>
              <w:jc w:val="center"/>
              <w:rPr>
                <w:rFonts w:hint="eastAsia" w:ascii="宋体" w:hAnsi="宋体" w:cs="宋体"/>
                <w:color w:val="auto"/>
                <w:sz w:val="30"/>
                <w:szCs w:val="30"/>
              </w:rPr>
            </w:pPr>
          </w:p>
        </w:tc>
      </w:tr>
      <w:tr w14:paraId="5CE69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3DEF206E">
            <w:pPr>
              <w:spacing w:line="220" w:lineRule="exact"/>
              <w:ind w:left="113" w:right="113"/>
              <w:jc w:val="center"/>
              <w:rPr>
                <w:rFonts w:hint="eastAsia" w:ascii="宋体" w:hAnsi="宋体" w:cs="宋体"/>
                <w:color w:val="auto"/>
                <w:szCs w:val="21"/>
              </w:rPr>
            </w:pPr>
          </w:p>
        </w:tc>
        <w:tc>
          <w:tcPr>
            <w:tcW w:w="6540" w:type="dxa"/>
            <w:gridSpan w:val="5"/>
            <w:noWrap w:val="0"/>
            <w:vAlign w:val="center"/>
          </w:tcPr>
          <w:p w14:paraId="4DE126FC">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3.具备4℃冷藏箱、-80℃超低温冰箱、液氮罐等硬件设备，满足微生物种质资源多种保藏需求。</w:t>
            </w:r>
          </w:p>
        </w:tc>
        <w:tc>
          <w:tcPr>
            <w:tcW w:w="541" w:type="dxa"/>
            <w:gridSpan w:val="2"/>
            <w:noWrap w:val="0"/>
            <w:vAlign w:val="center"/>
          </w:tcPr>
          <w:p w14:paraId="6F951E81">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60DFCA86">
            <w:pPr>
              <w:spacing w:line="220" w:lineRule="exact"/>
              <w:jc w:val="center"/>
              <w:rPr>
                <w:rFonts w:hint="eastAsia" w:ascii="宋体" w:hAnsi="宋体" w:cs="宋体"/>
                <w:color w:val="auto"/>
                <w:sz w:val="30"/>
                <w:szCs w:val="30"/>
              </w:rPr>
            </w:pPr>
          </w:p>
        </w:tc>
      </w:tr>
      <w:tr w14:paraId="0A63D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117EC8CB">
            <w:pPr>
              <w:spacing w:line="220" w:lineRule="exact"/>
              <w:ind w:left="113" w:right="113"/>
              <w:jc w:val="center"/>
              <w:rPr>
                <w:rFonts w:hint="eastAsia" w:ascii="宋体" w:hAnsi="宋体" w:cs="宋体"/>
                <w:color w:val="auto"/>
                <w:szCs w:val="21"/>
              </w:rPr>
            </w:pPr>
          </w:p>
        </w:tc>
        <w:tc>
          <w:tcPr>
            <w:tcW w:w="6540" w:type="dxa"/>
            <w:gridSpan w:val="5"/>
            <w:noWrap w:val="0"/>
            <w:vAlign w:val="center"/>
          </w:tcPr>
          <w:p w14:paraId="0265F2E8">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4.配备动物病原微生物分离、纯化及培养操作室面积不小于18m</w:t>
            </w:r>
            <w:r>
              <w:rPr>
                <w:rFonts w:hint="eastAsia" w:ascii="宋体" w:hAnsi="宋体" w:cs="宋体"/>
                <w:color w:val="auto"/>
                <w:szCs w:val="21"/>
                <w:vertAlign w:val="superscript"/>
              </w:rPr>
              <w:t>2</w:t>
            </w:r>
            <w:r>
              <w:rPr>
                <w:rFonts w:hint="eastAsia" w:ascii="宋体" w:hAnsi="宋体" w:cs="宋体"/>
                <w:color w:val="auto"/>
                <w:szCs w:val="21"/>
              </w:rPr>
              <w:t>。</w:t>
            </w:r>
          </w:p>
        </w:tc>
        <w:tc>
          <w:tcPr>
            <w:tcW w:w="541" w:type="dxa"/>
            <w:gridSpan w:val="2"/>
            <w:noWrap w:val="0"/>
            <w:vAlign w:val="center"/>
          </w:tcPr>
          <w:p w14:paraId="62DBAFEB">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2F14E30B">
            <w:pPr>
              <w:spacing w:line="220" w:lineRule="exact"/>
              <w:jc w:val="center"/>
              <w:rPr>
                <w:rFonts w:hint="eastAsia" w:ascii="宋体" w:hAnsi="宋体" w:cs="宋体"/>
                <w:color w:val="auto"/>
                <w:sz w:val="30"/>
                <w:szCs w:val="30"/>
              </w:rPr>
            </w:pPr>
          </w:p>
        </w:tc>
      </w:tr>
      <w:tr w14:paraId="69C633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1BC792D3">
            <w:pPr>
              <w:spacing w:line="220" w:lineRule="exact"/>
              <w:jc w:val="center"/>
              <w:rPr>
                <w:rFonts w:hint="eastAsia" w:ascii="宋体" w:hAnsi="宋体" w:cs="宋体"/>
                <w:color w:val="auto"/>
                <w:sz w:val="30"/>
                <w:szCs w:val="30"/>
              </w:rPr>
            </w:pPr>
          </w:p>
        </w:tc>
        <w:tc>
          <w:tcPr>
            <w:tcW w:w="6540" w:type="dxa"/>
            <w:gridSpan w:val="5"/>
            <w:noWrap w:val="0"/>
            <w:vAlign w:val="center"/>
          </w:tcPr>
          <w:p w14:paraId="20FF0C9B">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5.具备开展分子生物学、细胞生物学等动物病原微生物种质资源评价的实验室及仪器设备。</w:t>
            </w:r>
          </w:p>
        </w:tc>
        <w:tc>
          <w:tcPr>
            <w:tcW w:w="541" w:type="dxa"/>
            <w:gridSpan w:val="2"/>
            <w:noWrap w:val="0"/>
            <w:vAlign w:val="center"/>
          </w:tcPr>
          <w:p w14:paraId="1297C0A2">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76E92949">
            <w:pPr>
              <w:spacing w:line="220" w:lineRule="exact"/>
              <w:jc w:val="center"/>
              <w:rPr>
                <w:rFonts w:hint="eastAsia" w:ascii="宋体" w:hAnsi="宋体" w:cs="宋体"/>
                <w:color w:val="auto"/>
                <w:sz w:val="30"/>
                <w:szCs w:val="30"/>
              </w:rPr>
            </w:pPr>
          </w:p>
        </w:tc>
      </w:tr>
      <w:tr w14:paraId="079603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4CFE61D6">
            <w:pPr>
              <w:spacing w:line="220" w:lineRule="exact"/>
              <w:jc w:val="center"/>
              <w:rPr>
                <w:rFonts w:hint="eastAsia" w:ascii="宋体" w:hAnsi="宋体" w:cs="宋体"/>
                <w:color w:val="auto"/>
                <w:sz w:val="30"/>
                <w:szCs w:val="30"/>
              </w:rPr>
            </w:pPr>
          </w:p>
        </w:tc>
        <w:tc>
          <w:tcPr>
            <w:tcW w:w="6540" w:type="dxa"/>
            <w:gridSpan w:val="5"/>
            <w:noWrap w:val="0"/>
            <w:vAlign w:val="center"/>
          </w:tcPr>
          <w:p w14:paraId="4D4334DA">
            <w:pPr>
              <w:spacing w:beforeLines="0" w:afterLines="0" w:line="360" w:lineRule="exact"/>
              <w:ind w:left="105" w:leftChars="50"/>
              <w:rPr>
                <w:rFonts w:hint="eastAsia" w:ascii="宋体" w:hAnsi="宋体" w:cs="宋体"/>
                <w:color w:val="auto"/>
                <w:sz w:val="32"/>
                <w:szCs w:val="32"/>
              </w:rPr>
            </w:pPr>
            <w:r>
              <w:rPr>
                <w:rFonts w:hint="eastAsia" w:ascii="宋体" w:hAnsi="宋体" w:cs="宋体"/>
                <w:color w:val="auto"/>
                <w:shd w:val="clear" w:color="auto" w:fill="FFFFFF"/>
              </w:rPr>
              <w:t>6.从事动物病原微生物实验操作的场所、设备必须与所从事的动物病原微生物的生物安全级别相适应，以防止病原微生物的泄漏。</w:t>
            </w:r>
          </w:p>
        </w:tc>
        <w:tc>
          <w:tcPr>
            <w:tcW w:w="541" w:type="dxa"/>
            <w:gridSpan w:val="2"/>
            <w:noWrap w:val="0"/>
            <w:vAlign w:val="center"/>
          </w:tcPr>
          <w:p w14:paraId="36C28FFB">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62CD24EE">
            <w:pPr>
              <w:spacing w:line="220" w:lineRule="exact"/>
              <w:jc w:val="center"/>
              <w:rPr>
                <w:rFonts w:hint="eastAsia" w:ascii="宋体" w:hAnsi="宋体" w:cs="宋体"/>
                <w:color w:val="auto"/>
                <w:sz w:val="30"/>
                <w:szCs w:val="30"/>
              </w:rPr>
            </w:pPr>
          </w:p>
        </w:tc>
      </w:tr>
      <w:tr w14:paraId="20BB85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783C5A01">
            <w:pPr>
              <w:spacing w:line="220" w:lineRule="exact"/>
              <w:jc w:val="center"/>
              <w:rPr>
                <w:rFonts w:hint="eastAsia" w:ascii="宋体" w:hAnsi="宋体" w:cs="宋体"/>
                <w:color w:val="auto"/>
                <w:sz w:val="30"/>
                <w:szCs w:val="30"/>
              </w:rPr>
            </w:pPr>
          </w:p>
        </w:tc>
        <w:tc>
          <w:tcPr>
            <w:tcW w:w="6540" w:type="dxa"/>
            <w:gridSpan w:val="5"/>
            <w:noWrap w:val="0"/>
            <w:vAlign w:val="center"/>
          </w:tcPr>
          <w:p w14:paraId="1C55BAC7">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7.聘用或配备不少于2名技术人员，负责动物病原微生物种质资源收集、分离及保藏工作。</w:t>
            </w:r>
          </w:p>
        </w:tc>
        <w:tc>
          <w:tcPr>
            <w:tcW w:w="541" w:type="dxa"/>
            <w:gridSpan w:val="2"/>
            <w:noWrap w:val="0"/>
            <w:vAlign w:val="center"/>
          </w:tcPr>
          <w:p w14:paraId="60DB9438">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6748A1AD">
            <w:pPr>
              <w:spacing w:line="220" w:lineRule="exact"/>
              <w:jc w:val="center"/>
              <w:rPr>
                <w:rFonts w:hint="eastAsia" w:ascii="宋体" w:hAnsi="宋体" w:cs="宋体"/>
                <w:color w:val="auto"/>
                <w:sz w:val="30"/>
                <w:szCs w:val="30"/>
              </w:rPr>
            </w:pPr>
          </w:p>
          <w:p w14:paraId="1A601478">
            <w:pPr>
              <w:spacing w:line="220" w:lineRule="exact"/>
              <w:jc w:val="center"/>
              <w:rPr>
                <w:rFonts w:hint="eastAsia" w:ascii="宋体" w:hAnsi="宋体" w:cs="宋体"/>
                <w:color w:val="auto"/>
                <w:sz w:val="30"/>
                <w:szCs w:val="30"/>
              </w:rPr>
            </w:pPr>
          </w:p>
          <w:p w14:paraId="0ABCAE72">
            <w:pPr>
              <w:spacing w:line="220" w:lineRule="exact"/>
              <w:jc w:val="center"/>
              <w:rPr>
                <w:rFonts w:hint="eastAsia" w:ascii="宋体" w:hAnsi="宋体" w:cs="宋体"/>
                <w:color w:val="auto"/>
                <w:sz w:val="30"/>
                <w:szCs w:val="30"/>
              </w:rPr>
            </w:pPr>
          </w:p>
        </w:tc>
      </w:tr>
      <w:tr w14:paraId="4E0E5F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299339E5">
            <w:pPr>
              <w:spacing w:line="220" w:lineRule="exact"/>
              <w:jc w:val="center"/>
              <w:rPr>
                <w:rFonts w:hint="eastAsia" w:ascii="宋体" w:hAnsi="宋体" w:cs="宋体"/>
                <w:color w:val="auto"/>
                <w:sz w:val="30"/>
                <w:szCs w:val="30"/>
              </w:rPr>
            </w:pPr>
          </w:p>
        </w:tc>
        <w:tc>
          <w:tcPr>
            <w:tcW w:w="6540" w:type="dxa"/>
            <w:gridSpan w:val="5"/>
            <w:noWrap w:val="0"/>
            <w:vAlign w:val="center"/>
          </w:tcPr>
          <w:p w14:paraId="1061E422">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8.资料室、档案室、实验室、药物及仓库配备齐全，设有专职或兼职人员管理。</w:t>
            </w:r>
          </w:p>
        </w:tc>
        <w:tc>
          <w:tcPr>
            <w:tcW w:w="541" w:type="dxa"/>
            <w:gridSpan w:val="2"/>
            <w:noWrap w:val="0"/>
            <w:vAlign w:val="center"/>
          </w:tcPr>
          <w:p w14:paraId="02E95C71">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107D379F">
            <w:pPr>
              <w:spacing w:line="220" w:lineRule="exact"/>
              <w:jc w:val="center"/>
              <w:rPr>
                <w:rFonts w:hint="eastAsia" w:ascii="宋体" w:hAnsi="宋体" w:cs="宋体"/>
                <w:color w:val="auto"/>
                <w:sz w:val="30"/>
                <w:szCs w:val="30"/>
              </w:rPr>
            </w:pPr>
          </w:p>
        </w:tc>
      </w:tr>
      <w:tr w14:paraId="172FB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restart"/>
            <w:noWrap w:val="0"/>
            <w:vAlign w:val="center"/>
          </w:tcPr>
          <w:p w14:paraId="2E06F3D8">
            <w:pPr>
              <w:spacing w:line="300" w:lineRule="exact"/>
              <w:jc w:val="center"/>
              <w:rPr>
                <w:rFonts w:hint="eastAsia" w:ascii="宋体" w:hAnsi="宋体" w:cs="宋体"/>
                <w:color w:val="auto"/>
                <w:szCs w:val="21"/>
              </w:rPr>
            </w:pPr>
          </w:p>
          <w:p w14:paraId="53FA71A2">
            <w:pPr>
              <w:spacing w:line="300" w:lineRule="exact"/>
              <w:jc w:val="center"/>
              <w:rPr>
                <w:rFonts w:hint="eastAsia" w:ascii="宋体" w:hAnsi="宋体" w:cs="宋体"/>
                <w:b/>
                <w:bCs/>
                <w:color w:val="auto"/>
                <w:szCs w:val="21"/>
              </w:rPr>
            </w:pPr>
            <w:r>
              <w:rPr>
                <w:rFonts w:hint="eastAsia" w:ascii="宋体" w:hAnsi="宋体" w:cs="宋体"/>
                <w:b/>
                <w:bCs/>
                <w:color w:val="auto"/>
                <w:szCs w:val="21"/>
              </w:rPr>
              <w:t>技</w:t>
            </w:r>
          </w:p>
          <w:p w14:paraId="153345F7">
            <w:pPr>
              <w:spacing w:line="300" w:lineRule="exact"/>
              <w:jc w:val="center"/>
              <w:rPr>
                <w:rFonts w:hint="eastAsia" w:ascii="宋体" w:hAnsi="宋体" w:cs="宋体"/>
                <w:b/>
                <w:bCs/>
                <w:color w:val="auto"/>
                <w:szCs w:val="21"/>
              </w:rPr>
            </w:pPr>
            <w:r>
              <w:rPr>
                <w:rFonts w:hint="eastAsia" w:ascii="宋体" w:hAnsi="宋体" w:cs="宋体"/>
                <w:b/>
                <w:bCs/>
                <w:color w:val="auto"/>
                <w:szCs w:val="21"/>
              </w:rPr>
              <w:t>术</w:t>
            </w:r>
          </w:p>
          <w:p w14:paraId="768C1777">
            <w:pPr>
              <w:spacing w:line="300" w:lineRule="exact"/>
              <w:jc w:val="center"/>
              <w:rPr>
                <w:rFonts w:hint="eastAsia" w:ascii="宋体" w:hAnsi="宋体" w:cs="宋体"/>
                <w:b/>
                <w:bCs/>
                <w:color w:val="auto"/>
                <w:szCs w:val="21"/>
              </w:rPr>
            </w:pPr>
            <w:r>
              <w:rPr>
                <w:rFonts w:hint="eastAsia" w:ascii="宋体" w:hAnsi="宋体" w:cs="宋体"/>
                <w:b/>
                <w:bCs/>
                <w:color w:val="auto"/>
                <w:szCs w:val="21"/>
              </w:rPr>
              <w:t>条</w:t>
            </w:r>
          </w:p>
          <w:p w14:paraId="37708BBA">
            <w:pPr>
              <w:spacing w:line="300" w:lineRule="exact"/>
              <w:jc w:val="center"/>
              <w:rPr>
                <w:rFonts w:hint="eastAsia" w:ascii="宋体" w:hAnsi="宋体" w:cs="宋体"/>
                <w:b/>
                <w:bCs/>
                <w:color w:val="auto"/>
                <w:szCs w:val="21"/>
              </w:rPr>
            </w:pPr>
            <w:r>
              <w:rPr>
                <w:rFonts w:hint="eastAsia" w:ascii="宋体" w:hAnsi="宋体" w:cs="宋体"/>
                <w:b/>
                <w:bCs/>
                <w:color w:val="auto"/>
                <w:szCs w:val="21"/>
              </w:rPr>
              <w:t>件</w:t>
            </w:r>
          </w:p>
          <w:p w14:paraId="68D482B5">
            <w:pPr>
              <w:spacing w:line="300" w:lineRule="exact"/>
              <w:jc w:val="center"/>
              <w:rPr>
                <w:rFonts w:hint="eastAsia" w:ascii="宋体" w:hAnsi="宋体" w:cs="宋体"/>
                <w:b/>
                <w:bCs/>
                <w:color w:val="auto"/>
                <w:szCs w:val="21"/>
              </w:rPr>
            </w:pPr>
            <w:r>
              <w:rPr>
                <w:rFonts w:hint="eastAsia" w:ascii="宋体" w:hAnsi="宋体" w:cs="宋体"/>
                <w:b/>
                <w:bCs/>
                <w:color w:val="auto"/>
                <w:szCs w:val="21"/>
              </w:rPr>
              <w:t>（40）</w:t>
            </w:r>
          </w:p>
          <w:p w14:paraId="71456677">
            <w:pPr>
              <w:spacing w:line="300" w:lineRule="exact"/>
              <w:jc w:val="center"/>
              <w:rPr>
                <w:rFonts w:hint="eastAsia" w:ascii="宋体" w:hAnsi="宋体" w:cs="宋体"/>
                <w:color w:val="auto"/>
                <w:szCs w:val="21"/>
              </w:rPr>
            </w:pPr>
            <w:r>
              <w:rPr>
                <w:rFonts w:hint="eastAsia" w:ascii="宋体" w:hAnsi="宋体" w:cs="宋体"/>
                <w:b/>
                <w:bCs/>
                <w:color w:val="auto"/>
                <w:szCs w:val="21"/>
              </w:rPr>
              <w:t>分</w:t>
            </w:r>
          </w:p>
          <w:p w14:paraId="717A5364">
            <w:pPr>
              <w:spacing w:line="300" w:lineRule="exact"/>
              <w:rPr>
                <w:rFonts w:hint="eastAsia" w:ascii="宋体" w:hAnsi="宋体" w:cs="宋体"/>
                <w:color w:val="auto"/>
                <w:sz w:val="30"/>
                <w:szCs w:val="30"/>
              </w:rPr>
            </w:pPr>
          </w:p>
        </w:tc>
        <w:tc>
          <w:tcPr>
            <w:tcW w:w="6540" w:type="dxa"/>
            <w:gridSpan w:val="5"/>
            <w:noWrap w:val="0"/>
            <w:vAlign w:val="center"/>
          </w:tcPr>
          <w:p w14:paraId="07C2C931">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9.动物病原微生物种质资源评价负责人员具有硕士以上学历或中级以上技术职称，具有动物病原微生物分类、鉴定等相关知识背景和相应的工作经验。</w:t>
            </w:r>
          </w:p>
        </w:tc>
        <w:tc>
          <w:tcPr>
            <w:tcW w:w="541" w:type="dxa"/>
            <w:gridSpan w:val="2"/>
            <w:noWrap w:val="0"/>
            <w:vAlign w:val="center"/>
          </w:tcPr>
          <w:p w14:paraId="00F04C87">
            <w:pPr>
              <w:spacing w:line="300" w:lineRule="exact"/>
              <w:jc w:val="center"/>
              <w:rPr>
                <w:rFonts w:hint="eastAsia" w:ascii="宋体" w:hAnsi="宋体" w:cs="宋体"/>
                <w:color w:val="auto"/>
                <w:szCs w:val="21"/>
              </w:rPr>
            </w:pPr>
            <w:r>
              <w:rPr>
                <w:rFonts w:hint="eastAsia" w:ascii="宋体" w:hAnsi="宋体" w:cs="宋体"/>
                <w:color w:val="auto"/>
                <w:szCs w:val="21"/>
              </w:rPr>
              <w:t>6</w:t>
            </w:r>
          </w:p>
        </w:tc>
        <w:tc>
          <w:tcPr>
            <w:tcW w:w="705" w:type="dxa"/>
            <w:noWrap w:val="0"/>
            <w:vAlign w:val="top"/>
          </w:tcPr>
          <w:p w14:paraId="13E31161">
            <w:pPr>
              <w:spacing w:line="300" w:lineRule="exact"/>
              <w:jc w:val="center"/>
              <w:rPr>
                <w:rFonts w:hint="eastAsia" w:ascii="宋体" w:hAnsi="宋体" w:cs="宋体"/>
                <w:color w:val="auto"/>
                <w:sz w:val="30"/>
                <w:szCs w:val="30"/>
              </w:rPr>
            </w:pPr>
          </w:p>
        </w:tc>
      </w:tr>
      <w:tr w14:paraId="168AB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084B28ED">
            <w:pPr>
              <w:spacing w:line="300" w:lineRule="exact"/>
              <w:jc w:val="center"/>
              <w:rPr>
                <w:rFonts w:hint="eastAsia" w:ascii="宋体" w:hAnsi="宋体" w:cs="宋体"/>
                <w:color w:val="auto"/>
                <w:sz w:val="30"/>
                <w:szCs w:val="30"/>
              </w:rPr>
            </w:pPr>
          </w:p>
        </w:tc>
        <w:tc>
          <w:tcPr>
            <w:tcW w:w="6540" w:type="dxa"/>
            <w:gridSpan w:val="5"/>
            <w:noWrap w:val="0"/>
            <w:vAlign w:val="center"/>
          </w:tcPr>
          <w:p w14:paraId="1380CAEE">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10.动物病原微生物种质资源管理人员具备3年以上相关工作经验。</w:t>
            </w:r>
          </w:p>
        </w:tc>
        <w:tc>
          <w:tcPr>
            <w:tcW w:w="541" w:type="dxa"/>
            <w:gridSpan w:val="2"/>
            <w:noWrap w:val="0"/>
            <w:vAlign w:val="center"/>
          </w:tcPr>
          <w:p w14:paraId="7ACFFD56">
            <w:pPr>
              <w:spacing w:line="300" w:lineRule="exact"/>
              <w:jc w:val="center"/>
              <w:rPr>
                <w:rFonts w:hint="eastAsia" w:ascii="宋体" w:hAnsi="宋体" w:cs="宋体"/>
                <w:color w:val="auto"/>
                <w:szCs w:val="21"/>
              </w:rPr>
            </w:pPr>
            <w:r>
              <w:rPr>
                <w:rFonts w:hint="eastAsia" w:ascii="宋体" w:hAnsi="宋体" w:cs="宋体"/>
                <w:color w:val="auto"/>
                <w:szCs w:val="21"/>
              </w:rPr>
              <w:t>6</w:t>
            </w:r>
          </w:p>
        </w:tc>
        <w:tc>
          <w:tcPr>
            <w:tcW w:w="705" w:type="dxa"/>
            <w:noWrap w:val="0"/>
            <w:vAlign w:val="top"/>
          </w:tcPr>
          <w:p w14:paraId="041455E5">
            <w:pPr>
              <w:spacing w:line="300" w:lineRule="exact"/>
              <w:jc w:val="center"/>
              <w:rPr>
                <w:rFonts w:hint="eastAsia" w:ascii="宋体" w:hAnsi="宋体" w:cs="宋体"/>
                <w:color w:val="auto"/>
                <w:sz w:val="30"/>
                <w:szCs w:val="30"/>
              </w:rPr>
            </w:pPr>
          </w:p>
        </w:tc>
      </w:tr>
      <w:tr w14:paraId="45C30E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59BB14F0">
            <w:pPr>
              <w:spacing w:line="300" w:lineRule="exact"/>
              <w:jc w:val="center"/>
              <w:rPr>
                <w:rFonts w:hint="eastAsia" w:ascii="宋体" w:hAnsi="宋体" w:cs="宋体"/>
                <w:color w:val="auto"/>
                <w:sz w:val="30"/>
                <w:szCs w:val="30"/>
              </w:rPr>
            </w:pPr>
          </w:p>
        </w:tc>
        <w:tc>
          <w:tcPr>
            <w:tcW w:w="6540" w:type="dxa"/>
            <w:gridSpan w:val="5"/>
            <w:noWrap w:val="0"/>
            <w:vAlign w:val="center"/>
          </w:tcPr>
          <w:p w14:paraId="6EDE3BA0">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11.具备动物病原微生物种质资源分离、培养、鉴定、保藏、评价完整的技术体系。</w:t>
            </w:r>
          </w:p>
        </w:tc>
        <w:tc>
          <w:tcPr>
            <w:tcW w:w="541" w:type="dxa"/>
            <w:gridSpan w:val="2"/>
            <w:noWrap w:val="0"/>
            <w:vAlign w:val="center"/>
          </w:tcPr>
          <w:p w14:paraId="72C50D70">
            <w:pPr>
              <w:spacing w:line="300" w:lineRule="exact"/>
              <w:jc w:val="center"/>
              <w:rPr>
                <w:rFonts w:hint="eastAsia" w:ascii="宋体" w:hAnsi="宋体" w:cs="宋体"/>
                <w:color w:val="auto"/>
                <w:szCs w:val="21"/>
              </w:rPr>
            </w:pPr>
            <w:r>
              <w:rPr>
                <w:rFonts w:hint="eastAsia" w:ascii="宋体" w:hAnsi="宋体" w:cs="宋体"/>
                <w:color w:val="auto"/>
                <w:szCs w:val="21"/>
              </w:rPr>
              <w:t>8</w:t>
            </w:r>
          </w:p>
        </w:tc>
        <w:tc>
          <w:tcPr>
            <w:tcW w:w="705" w:type="dxa"/>
            <w:noWrap w:val="0"/>
            <w:vAlign w:val="top"/>
          </w:tcPr>
          <w:p w14:paraId="76DAB8A1">
            <w:pPr>
              <w:spacing w:line="300" w:lineRule="exact"/>
              <w:jc w:val="center"/>
              <w:rPr>
                <w:rFonts w:hint="eastAsia" w:ascii="宋体" w:hAnsi="宋体" w:cs="宋体"/>
                <w:color w:val="auto"/>
                <w:sz w:val="30"/>
                <w:szCs w:val="30"/>
              </w:rPr>
            </w:pPr>
          </w:p>
        </w:tc>
      </w:tr>
      <w:tr w14:paraId="79FE8C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04A14C17">
            <w:pPr>
              <w:spacing w:line="300" w:lineRule="exact"/>
              <w:jc w:val="center"/>
              <w:rPr>
                <w:rFonts w:hint="eastAsia" w:ascii="宋体" w:hAnsi="宋体" w:cs="宋体"/>
                <w:color w:val="auto"/>
                <w:sz w:val="30"/>
                <w:szCs w:val="30"/>
              </w:rPr>
            </w:pPr>
          </w:p>
        </w:tc>
        <w:tc>
          <w:tcPr>
            <w:tcW w:w="6540" w:type="dxa"/>
            <w:gridSpan w:val="5"/>
            <w:noWrap w:val="0"/>
            <w:vAlign w:val="center"/>
          </w:tcPr>
          <w:p w14:paraId="6A7E2909">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12.已建有动物病原微生物种质资源库，并且已保藏各类动物病原微生物种质资源种类不少于20种，菌（毒）株不少于100株。</w:t>
            </w:r>
          </w:p>
        </w:tc>
        <w:tc>
          <w:tcPr>
            <w:tcW w:w="541" w:type="dxa"/>
            <w:gridSpan w:val="2"/>
            <w:noWrap w:val="0"/>
            <w:vAlign w:val="center"/>
          </w:tcPr>
          <w:p w14:paraId="07152189">
            <w:pPr>
              <w:spacing w:line="300" w:lineRule="exact"/>
              <w:jc w:val="center"/>
              <w:rPr>
                <w:rFonts w:hint="eastAsia" w:ascii="宋体" w:hAnsi="宋体" w:cs="宋体"/>
                <w:color w:val="auto"/>
                <w:szCs w:val="21"/>
              </w:rPr>
            </w:pPr>
            <w:r>
              <w:rPr>
                <w:rFonts w:hint="eastAsia" w:ascii="宋体" w:hAnsi="宋体" w:cs="宋体"/>
                <w:color w:val="auto"/>
                <w:szCs w:val="21"/>
              </w:rPr>
              <w:t>8</w:t>
            </w:r>
          </w:p>
        </w:tc>
        <w:tc>
          <w:tcPr>
            <w:tcW w:w="705" w:type="dxa"/>
            <w:noWrap w:val="0"/>
            <w:vAlign w:val="top"/>
          </w:tcPr>
          <w:p w14:paraId="3EA0F16A">
            <w:pPr>
              <w:spacing w:line="300" w:lineRule="exact"/>
              <w:jc w:val="center"/>
              <w:rPr>
                <w:rFonts w:hint="eastAsia" w:ascii="宋体" w:hAnsi="宋体" w:cs="宋体"/>
                <w:color w:val="auto"/>
                <w:sz w:val="30"/>
                <w:szCs w:val="30"/>
              </w:rPr>
            </w:pPr>
          </w:p>
        </w:tc>
      </w:tr>
      <w:tr w14:paraId="0C616E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43A15509">
            <w:pPr>
              <w:spacing w:line="300" w:lineRule="exact"/>
              <w:jc w:val="center"/>
              <w:rPr>
                <w:rFonts w:hint="eastAsia" w:ascii="宋体" w:hAnsi="宋体" w:cs="宋体"/>
                <w:color w:val="auto"/>
                <w:sz w:val="30"/>
                <w:szCs w:val="30"/>
              </w:rPr>
            </w:pPr>
          </w:p>
        </w:tc>
        <w:tc>
          <w:tcPr>
            <w:tcW w:w="6540" w:type="dxa"/>
            <w:gridSpan w:val="5"/>
            <w:noWrap w:val="0"/>
            <w:vAlign w:val="center"/>
          </w:tcPr>
          <w:p w14:paraId="60EC59F0">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13.具备动物病原微生物种质资源评价相关技术，承担过相关项目。</w:t>
            </w:r>
          </w:p>
        </w:tc>
        <w:tc>
          <w:tcPr>
            <w:tcW w:w="541" w:type="dxa"/>
            <w:gridSpan w:val="2"/>
            <w:noWrap w:val="0"/>
            <w:vAlign w:val="center"/>
          </w:tcPr>
          <w:p w14:paraId="4FA54052">
            <w:pPr>
              <w:spacing w:line="300" w:lineRule="exact"/>
              <w:jc w:val="center"/>
              <w:rPr>
                <w:rFonts w:hint="eastAsia" w:ascii="宋体" w:hAnsi="宋体" w:cs="宋体"/>
                <w:color w:val="auto"/>
                <w:szCs w:val="21"/>
              </w:rPr>
            </w:pPr>
            <w:r>
              <w:rPr>
                <w:rFonts w:hint="eastAsia" w:ascii="宋体" w:hAnsi="宋体" w:cs="宋体"/>
                <w:color w:val="auto"/>
                <w:szCs w:val="21"/>
              </w:rPr>
              <w:t>6</w:t>
            </w:r>
          </w:p>
        </w:tc>
        <w:tc>
          <w:tcPr>
            <w:tcW w:w="705" w:type="dxa"/>
            <w:noWrap w:val="0"/>
            <w:vAlign w:val="top"/>
          </w:tcPr>
          <w:p w14:paraId="17D96674">
            <w:pPr>
              <w:spacing w:line="300" w:lineRule="exact"/>
              <w:jc w:val="center"/>
              <w:rPr>
                <w:rFonts w:hint="eastAsia" w:ascii="宋体" w:hAnsi="宋体" w:cs="宋体"/>
                <w:color w:val="auto"/>
                <w:sz w:val="30"/>
                <w:szCs w:val="30"/>
              </w:rPr>
            </w:pPr>
          </w:p>
        </w:tc>
      </w:tr>
      <w:tr w14:paraId="085E4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3AE1A298">
            <w:pPr>
              <w:spacing w:line="300" w:lineRule="exact"/>
              <w:jc w:val="center"/>
              <w:rPr>
                <w:rFonts w:hint="eastAsia" w:ascii="宋体" w:hAnsi="宋体" w:cs="宋体"/>
                <w:color w:val="auto"/>
                <w:sz w:val="30"/>
                <w:szCs w:val="30"/>
              </w:rPr>
            </w:pPr>
          </w:p>
        </w:tc>
        <w:tc>
          <w:tcPr>
            <w:tcW w:w="6540" w:type="dxa"/>
            <w:gridSpan w:val="5"/>
            <w:noWrap w:val="0"/>
            <w:vAlign w:val="center"/>
          </w:tcPr>
          <w:p w14:paraId="3AFDF495">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14.定期对技术人员进行动物病原微生物分离、保藏、评价、鉴定技术及安全操作技术培训。</w:t>
            </w:r>
          </w:p>
        </w:tc>
        <w:tc>
          <w:tcPr>
            <w:tcW w:w="541" w:type="dxa"/>
            <w:gridSpan w:val="2"/>
            <w:noWrap w:val="0"/>
            <w:vAlign w:val="center"/>
          </w:tcPr>
          <w:p w14:paraId="31A1C97B">
            <w:pPr>
              <w:spacing w:line="300" w:lineRule="exact"/>
              <w:jc w:val="center"/>
              <w:rPr>
                <w:rFonts w:hint="eastAsia" w:ascii="宋体" w:hAnsi="宋体" w:cs="宋体"/>
                <w:color w:val="auto"/>
                <w:szCs w:val="21"/>
              </w:rPr>
            </w:pPr>
            <w:r>
              <w:rPr>
                <w:rFonts w:hint="eastAsia" w:ascii="宋体" w:hAnsi="宋体" w:cs="宋体"/>
                <w:color w:val="auto"/>
                <w:szCs w:val="21"/>
              </w:rPr>
              <w:t>6</w:t>
            </w:r>
          </w:p>
        </w:tc>
        <w:tc>
          <w:tcPr>
            <w:tcW w:w="705" w:type="dxa"/>
            <w:noWrap w:val="0"/>
            <w:vAlign w:val="top"/>
          </w:tcPr>
          <w:p w14:paraId="41BC6DED">
            <w:pPr>
              <w:spacing w:line="300" w:lineRule="exact"/>
              <w:jc w:val="center"/>
              <w:rPr>
                <w:rFonts w:hint="eastAsia" w:ascii="宋体" w:hAnsi="宋体" w:cs="宋体"/>
                <w:color w:val="auto"/>
                <w:sz w:val="30"/>
                <w:szCs w:val="30"/>
              </w:rPr>
            </w:pPr>
          </w:p>
        </w:tc>
      </w:tr>
      <w:tr w14:paraId="1347F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restart"/>
            <w:noWrap w:val="0"/>
            <w:vAlign w:val="center"/>
          </w:tcPr>
          <w:p w14:paraId="145A6A97">
            <w:pPr>
              <w:spacing w:line="300" w:lineRule="exact"/>
              <w:jc w:val="center"/>
              <w:rPr>
                <w:rFonts w:hint="eastAsia" w:ascii="宋体" w:hAnsi="宋体" w:cs="宋体"/>
                <w:b/>
                <w:bCs/>
                <w:color w:val="auto"/>
                <w:szCs w:val="21"/>
              </w:rPr>
            </w:pPr>
            <w:r>
              <w:rPr>
                <w:rFonts w:hint="eastAsia" w:ascii="宋体" w:hAnsi="宋体" w:cs="宋体"/>
                <w:b/>
                <w:bCs/>
                <w:color w:val="auto"/>
                <w:szCs w:val="21"/>
              </w:rPr>
              <w:t>管</w:t>
            </w:r>
          </w:p>
          <w:p w14:paraId="562E055B">
            <w:pPr>
              <w:spacing w:line="300" w:lineRule="exact"/>
              <w:jc w:val="center"/>
              <w:rPr>
                <w:rFonts w:hint="eastAsia" w:ascii="宋体" w:hAnsi="宋体" w:cs="宋体"/>
                <w:b/>
                <w:bCs/>
                <w:color w:val="auto"/>
                <w:szCs w:val="21"/>
              </w:rPr>
            </w:pPr>
            <w:r>
              <w:rPr>
                <w:rFonts w:hint="eastAsia" w:ascii="宋体" w:hAnsi="宋体" w:cs="宋体"/>
                <w:b/>
                <w:bCs/>
                <w:color w:val="auto"/>
                <w:szCs w:val="21"/>
              </w:rPr>
              <w:t>理</w:t>
            </w:r>
          </w:p>
          <w:p w14:paraId="4F62454A">
            <w:pPr>
              <w:spacing w:line="300" w:lineRule="exact"/>
              <w:jc w:val="center"/>
              <w:rPr>
                <w:rFonts w:hint="eastAsia" w:ascii="宋体" w:hAnsi="宋体" w:cs="宋体"/>
                <w:b/>
                <w:bCs/>
                <w:color w:val="auto"/>
                <w:szCs w:val="21"/>
              </w:rPr>
            </w:pPr>
            <w:r>
              <w:rPr>
                <w:rFonts w:hint="eastAsia" w:ascii="宋体" w:hAnsi="宋体" w:cs="宋体"/>
                <w:b/>
                <w:bCs/>
                <w:color w:val="auto"/>
                <w:szCs w:val="21"/>
              </w:rPr>
              <w:t>制</w:t>
            </w:r>
          </w:p>
          <w:p w14:paraId="210653E4">
            <w:pPr>
              <w:spacing w:line="300" w:lineRule="exact"/>
              <w:jc w:val="center"/>
              <w:rPr>
                <w:rFonts w:hint="eastAsia" w:ascii="宋体" w:hAnsi="宋体" w:cs="宋体"/>
                <w:b/>
                <w:bCs/>
                <w:color w:val="auto"/>
                <w:szCs w:val="21"/>
              </w:rPr>
            </w:pPr>
            <w:r>
              <w:rPr>
                <w:rFonts w:hint="eastAsia" w:ascii="宋体" w:hAnsi="宋体" w:cs="宋体"/>
                <w:b/>
                <w:bCs/>
                <w:color w:val="auto"/>
                <w:szCs w:val="21"/>
              </w:rPr>
              <w:t>度</w:t>
            </w:r>
          </w:p>
          <w:p w14:paraId="75F148C5">
            <w:pPr>
              <w:spacing w:line="300" w:lineRule="exact"/>
              <w:jc w:val="center"/>
              <w:rPr>
                <w:rFonts w:hint="eastAsia" w:ascii="宋体" w:hAnsi="宋体" w:cs="宋体"/>
                <w:b/>
                <w:bCs/>
                <w:color w:val="auto"/>
                <w:szCs w:val="21"/>
              </w:rPr>
            </w:pPr>
            <w:r>
              <w:rPr>
                <w:rFonts w:hint="eastAsia" w:ascii="宋体" w:hAnsi="宋体" w:cs="宋体"/>
                <w:b/>
                <w:bCs/>
                <w:color w:val="auto"/>
                <w:szCs w:val="21"/>
              </w:rPr>
              <w:t>（20）</w:t>
            </w:r>
          </w:p>
          <w:p w14:paraId="6580CE71">
            <w:pPr>
              <w:spacing w:line="300" w:lineRule="exact"/>
              <w:jc w:val="center"/>
              <w:rPr>
                <w:rFonts w:hint="eastAsia" w:ascii="宋体" w:hAnsi="宋体" w:cs="宋体"/>
                <w:b/>
                <w:bCs/>
                <w:color w:val="auto"/>
                <w:szCs w:val="21"/>
              </w:rPr>
            </w:pPr>
            <w:r>
              <w:rPr>
                <w:rFonts w:hint="eastAsia" w:ascii="宋体" w:hAnsi="宋体" w:cs="宋体"/>
                <w:b/>
                <w:bCs/>
                <w:color w:val="auto"/>
                <w:szCs w:val="21"/>
              </w:rPr>
              <w:t>分</w:t>
            </w:r>
          </w:p>
        </w:tc>
        <w:tc>
          <w:tcPr>
            <w:tcW w:w="6540" w:type="dxa"/>
            <w:gridSpan w:val="5"/>
            <w:noWrap w:val="0"/>
            <w:vAlign w:val="center"/>
          </w:tcPr>
          <w:p w14:paraId="046BD60E">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15.种质资源来源清晰，记录齐全，设定统一编号，并有专人负责。</w:t>
            </w:r>
          </w:p>
        </w:tc>
        <w:tc>
          <w:tcPr>
            <w:tcW w:w="541" w:type="dxa"/>
            <w:gridSpan w:val="2"/>
            <w:noWrap w:val="0"/>
            <w:vAlign w:val="center"/>
          </w:tcPr>
          <w:p w14:paraId="15D7848A">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33D7FC31">
            <w:pPr>
              <w:spacing w:line="300" w:lineRule="exact"/>
              <w:jc w:val="center"/>
              <w:rPr>
                <w:rFonts w:hint="eastAsia" w:ascii="宋体" w:hAnsi="宋体" w:cs="宋体"/>
                <w:color w:val="auto"/>
                <w:sz w:val="30"/>
                <w:szCs w:val="30"/>
              </w:rPr>
            </w:pPr>
          </w:p>
        </w:tc>
      </w:tr>
      <w:tr w14:paraId="213B20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0F2179E8">
            <w:pPr>
              <w:spacing w:line="300" w:lineRule="exact"/>
              <w:ind w:left="113" w:right="113"/>
              <w:jc w:val="center"/>
              <w:rPr>
                <w:rFonts w:hint="eastAsia" w:ascii="宋体" w:hAnsi="宋体" w:cs="宋体"/>
                <w:b/>
                <w:bCs/>
                <w:color w:val="auto"/>
                <w:szCs w:val="21"/>
              </w:rPr>
            </w:pPr>
          </w:p>
        </w:tc>
        <w:tc>
          <w:tcPr>
            <w:tcW w:w="6540" w:type="dxa"/>
            <w:gridSpan w:val="5"/>
            <w:noWrap w:val="0"/>
            <w:vAlign w:val="center"/>
          </w:tcPr>
          <w:p w14:paraId="3FC9DDDF">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16.建立保藏种质资源活力检测制度，并及时提纯复壮。</w:t>
            </w:r>
          </w:p>
        </w:tc>
        <w:tc>
          <w:tcPr>
            <w:tcW w:w="541" w:type="dxa"/>
            <w:gridSpan w:val="2"/>
            <w:noWrap w:val="0"/>
            <w:vAlign w:val="center"/>
          </w:tcPr>
          <w:p w14:paraId="50BA72B1">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584F6C39">
            <w:pPr>
              <w:spacing w:line="300" w:lineRule="exact"/>
              <w:jc w:val="center"/>
              <w:rPr>
                <w:rFonts w:hint="eastAsia" w:ascii="宋体" w:hAnsi="宋体" w:cs="宋体"/>
                <w:color w:val="auto"/>
                <w:sz w:val="30"/>
                <w:szCs w:val="30"/>
              </w:rPr>
            </w:pPr>
          </w:p>
        </w:tc>
      </w:tr>
      <w:tr w14:paraId="1C1D1E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3ED9C3BD">
            <w:pPr>
              <w:spacing w:line="300" w:lineRule="exact"/>
              <w:ind w:left="113" w:right="113"/>
              <w:jc w:val="center"/>
              <w:rPr>
                <w:rFonts w:hint="eastAsia" w:ascii="宋体" w:hAnsi="宋体" w:cs="宋体"/>
                <w:b/>
                <w:bCs/>
                <w:color w:val="auto"/>
                <w:szCs w:val="21"/>
              </w:rPr>
            </w:pPr>
          </w:p>
        </w:tc>
        <w:tc>
          <w:tcPr>
            <w:tcW w:w="6540" w:type="dxa"/>
            <w:gridSpan w:val="5"/>
            <w:noWrap w:val="0"/>
            <w:vAlign w:val="center"/>
          </w:tcPr>
          <w:p w14:paraId="633E17CA">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17.建立岗位责任制、档案管理制度、培训考核制度等。</w:t>
            </w:r>
          </w:p>
        </w:tc>
        <w:tc>
          <w:tcPr>
            <w:tcW w:w="541" w:type="dxa"/>
            <w:gridSpan w:val="2"/>
            <w:noWrap w:val="0"/>
            <w:vAlign w:val="center"/>
          </w:tcPr>
          <w:p w14:paraId="1CCDB97E">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78195171">
            <w:pPr>
              <w:spacing w:line="300" w:lineRule="exact"/>
              <w:jc w:val="center"/>
              <w:rPr>
                <w:rFonts w:hint="eastAsia" w:ascii="宋体" w:hAnsi="宋体" w:cs="宋体"/>
                <w:color w:val="auto"/>
                <w:sz w:val="30"/>
                <w:szCs w:val="30"/>
              </w:rPr>
            </w:pPr>
          </w:p>
        </w:tc>
      </w:tr>
      <w:tr w14:paraId="3E8A2E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4D717C76">
            <w:pPr>
              <w:spacing w:line="300" w:lineRule="exact"/>
              <w:ind w:left="113" w:right="113"/>
              <w:jc w:val="center"/>
              <w:rPr>
                <w:rFonts w:hint="eastAsia" w:ascii="宋体" w:hAnsi="宋体" w:cs="宋体"/>
                <w:color w:val="auto"/>
                <w:szCs w:val="21"/>
              </w:rPr>
            </w:pPr>
          </w:p>
        </w:tc>
        <w:tc>
          <w:tcPr>
            <w:tcW w:w="6540" w:type="dxa"/>
            <w:gridSpan w:val="5"/>
            <w:noWrap w:val="0"/>
            <w:vAlign w:val="center"/>
          </w:tcPr>
          <w:p w14:paraId="04498798">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18.无连续两次不提交年度工作报告的行为，且年度工作报告提交及时，内容符合要求。无遇重大事项未及时上报的行为。（仅适用于复查，如是初次申请，此项满分）。</w:t>
            </w:r>
          </w:p>
        </w:tc>
        <w:tc>
          <w:tcPr>
            <w:tcW w:w="541" w:type="dxa"/>
            <w:gridSpan w:val="2"/>
            <w:noWrap w:val="0"/>
            <w:vAlign w:val="center"/>
          </w:tcPr>
          <w:p w14:paraId="3C4889CE">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0FC1D423">
            <w:pPr>
              <w:spacing w:line="300" w:lineRule="exact"/>
              <w:jc w:val="center"/>
              <w:rPr>
                <w:rFonts w:hint="eastAsia" w:ascii="宋体" w:hAnsi="宋体" w:cs="宋体"/>
                <w:color w:val="auto"/>
                <w:sz w:val="30"/>
                <w:szCs w:val="30"/>
              </w:rPr>
            </w:pPr>
          </w:p>
        </w:tc>
      </w:tr>
      <w:tr w14:paraId="18FC7A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7ED9C033">
            <w:pPr>
              <w:spacing w:line="300" w:lineRule="exact"/>
              <w:ind w:left="113" w:right="113"/>
              <w:jc w:val="center"/>
              <w:rPr>
                <w:rFonts w:hint="eastAsia" w:ascii="宋体" w:hAnsi="宋体" w:cs="宋体"/>
                <w:b/>
                <w:bCs/>
                <w:color w:val="auto"/>
                <w:szCs w:val="21"/>
              </w:rPr>
            </w:pPr>
          </w:p>
        </w:tc>
        <w:tc>
          <w:tcPr>
            <w:tcW w:w="6540" w:type="dxa"/>
            <w:gridSpan w:val="5"/>
            <w:noWrap w:val="0"/>
            <w:vAlign w:val="center"/>
          </w:tcPr>
          <w:p w14:paraId="589BF8FB">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19.无不提交有关表型、基因型、环境型相关信息（不含涉及商业秘密）的行为。</w:t>
            </w:r>
          </w:p>
        </w:tc>
        <w:tc>
          <w:tcPr>
            <w:tcW w:w="541" w:type="dxa"/>
            <w:gridSpan w:val="2"/>
            <w:noWrap w:val="0"/>
            <w:vAlign w:val="center"/>
          </w:tcPr>
          <w:p w14:paraId="2AC81EC6">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7FB67FFB">
            <w:pPr>
              <w:spacing w:line="300" w:lineRule="exact"/>
              <w:jc w:val="center"/>
              <w:rPr>
                <w:rFonts w:hint="eastAsia" w:ascii="宋体" w:hAnsi="宋体" w:cs="宋体"/>
                <w:color w:val="auto"/>
                <w:sz w:val="30"/>
                <w:szCs w:val="30"/>
              </w:rPr>
            </w:pPr>
          </w:p>
        </w:tc>
      </w:tr>
      <w:tr w14:paraId="0CB2C7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063ECD8F">
            <w:pPr>
              <w:spacing w:line="300" w:lineRule="exact"/>
              <w:ind w:left="113" w:right="113"/>
              <w:jc w:val="center"/>
              <w:rPr>
                <w:rFonts w:hint="eastAsia" w:ascii="宋体" w:hAnsi="宋体" w:cs="宋体"/>
                <w:b/>
                <w:bCs/>
                <w:color w:val="auto"/>
                <w:szCs w:val="21"/>
              </w:rPr>
            </w:pPr>
          </w:p>
        </w:tc>
        <w:tc>
          <w:tcPr>
            <w:tcW w:w="6540" w:type="dxa"/>
            <w:gridSpan w:val="5"/>
            <w:noWrap w:val="0"/>
            <w:vAlign w:val="center"/>
          </w:tcPr>
          <w:p w14:paraId="186CFBBE">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20.至迟于有效期截止或暂缓复查期结束日前3个月提出复查申请。（仅适用于复查，如是初次申请，此项满分</w:t>
            </w:r>
            <w:r>
              <w:rPr>
                <w:rFonts w:hint="eastAsia" w:ascii="宋体" w:hAnsi="宋体" w:cs="宋体"/>
                <w:color w:val="auto"/>
                <w:szCs w:val="21"/>
                <w:lang w:eastAsia="zh-CN"/>
              </w:rPr>
              <w:t>）</w:t>
            </w:r>
            <w:r>
              <w:rPr>
                <w:rFonts w:hint="eastAsia" w:ascii="宋体" w:hAnsi="宋体" w:cs="宋体"/>
                <w:color w:val="auto"/>
                <w:szCs w:val="21"/>
              </w:rPr>
              <w:t>。</w:t>
            </w:r>
          </w:p>
        </w:tc>
        <w:tc>
          <w:tcPr>
            <w:tcW w:w="541" w:type="dxa"/>
            <w:gridSpan w:val="2"/>
            <w:noWrap w:val="0"/>
            <w:vAlign w:val="center"/>
          </w:tcPr>
          <w:p w14:paraId="292DB150">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7C355088">
            <w:pPr>
              <w:spacing w:line="300" w:lineRule="exact"/>
              <w:jc w:val="center"/>
              <w:rPr>
                <w:rFonts w:hint="eastAsia" w:ascii="宋体" w:hAnsi="宋体" w:cs="宋体"/>
                <w:color w:val="auto"/>
                <w:sz w:val="30"/>
                <w:szCs w:val="30"/>
              </w:rPr>
            </w:pPr>
          </w:p>
        </w:tc>
      </w:tr>
      <w:tr w14:paraId="2869E5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3E1B8685">
            <w:pPr>
              <w:spacing w:line="300" w:lineRule="exact"/>
              <w:ind w:left="113" w:right="113"/>
              <w:jc w:val="center"/>
              <w:rPr>
                <w:rFonts w:hint="eastAsia" w:ascii="宋体" w:hAnsi="宋体" w:cs="宋体"/>
                <w:b/>
                <w:bCs/>
                <w:color w:val="auto"/>
                <w:szCs w:val="21"/>
              </w:rPr>
            </w:pPr>
          </w:p>
        </w:tc>
        <w:tc>
          <w:tcPr>
            <w:tcW w:w="6540" w:type="dxa"/>
            <w:gridSpan w:val="5"/>
            <w:noWrap w:val="0"/>
            <w:vAlign w:val="center"/>
          </w:tcPr>
          <w:p w14:paraId="0100111F">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21.企业通过ISO或HACCP等标准化认证或为AA级以上信誉企业。事业单位获得优秀文明单位称号等。</w:t>
            </w:r>
          </w:p>
        </w:tc>
        <w:tc>
          <w:tcPr>
            <w:tcW w:w="541" w:type="dxa"/>
            <w:gridSpan w:val="2"/>
            <w:noWrap w:val="0"/>
            <w:vAlign w:val="center"/>
          </w:tcPr>
          <w:p w14:paraId="7C7309C2">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1081D1A4">
            <w:pPr>
              <w:spacing w:line="300" w:lineRule="exact"/>
              <w:jc w:val="center"/>
              <w:rPr>
                <w:rFonts w:hint="eastAsia" w:ascii="宋体" w:hAnsi="宋体" w:cs="宋体"/>
                <w:color w:val="auto"/>
                <w:sz w:val="30"/>
                <w:szCs w:val="30"/>
              </w:rPr>
            </w:pPr>
          </w:p>
        </w:tc>
      </w:tr>
      <w:tr w14:paraId="3306F3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5B5D3E37">
            <w:pPr>
              <w:spacing w:line="300" w:lineRule="exact"/>
              <w:ind w:left="113" w:right="113"/>
              <w:jc w:val="center"/>
              <w:rPr>
                <w:rFonts w:hint="eastAsia" w:ascii="宋体" w:hAnsi="宋体" w:cs="宋体"/>
                <w:b/>
                <w:bCs/>
                <w:color w:val="auto"/>
                <w:szCs w:val="21"/>
              </w:rPr>
            </w:pPr>
          </w:p>
        </w:tc>
        <w:tc>
          <w:tcPr>
            <w:tcW w:w="6540" w:type="dxa"/>
            <w:gridSpan w:val="5"/>
            <w:noWrap w:val="0"/>
            <w:vAlign w:val="center"/>
          </w:tcPr>
          <w:p w14:paraId="25F2B1C3">
            <w:pPr>
              <w:pStyle w:val="5"/>
              <w:numPr>
                <w:ilvl w:val="0"/>
                <w:numId w:val="0"/>
              </w:numPr>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lang w:val="en-US" w:eastAsia="zh-CN"/>
              </w:rPr>
              <w:t>22.</w:t>
            </w:r>
            <w:r>
              <w:rPr>
                <w:rFonts w:hint="eastAsia" w:ascii="宋体" w:hAnsi="宋体" w:cs="宋体"/>
                <w:color w:val="auto"/>
                <w:szCs w:val="21"/>
              </w:rPr>
              <w:t>近3年未发生重大安全生产事故。</w:t>
            </w:r>
          </w:p>
        </w:tc>
        <w:tc>
          <w:tcPr>
            <w:tcW w:w="541" w:type="dxa"/>
            <w:gridSpan w:val="2"/>
            <w:noWrap w:val="0"/>
            <w:vAlign w:val="center"/>
          </w:tcPr>
          <w:p w14:paraId="6ED8A564">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72286C3D">
            <w:pPr>
              <w:spacing w:line="300" w:lineRule="exact"/>
              <w:jc w:val="center"/>
              <w:rPr>
                <w:rFonts w:hint="eastAsia" w:ascii="宋体" w:hAnsi="宋体" w:cs="宋体"/>
                <w:color w:val="auto"/>
                <w:sz w:val="30"/>
                <w:szCs w:val="30"/>
              </w:rPr>
            </w:pPr>
          </w:p>
        </w:tc>
      </w:tr>
      <w:tr w14:paraId="62A821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185" w:type="dxa"/>
            <w:gridSpan w:val="6"/>
            <w:noWrap w:val="0"/>
            <w:vAlign w:val="top"/>
          </w:tcPr>
          <w:p w14:paraId="4BB0FA23">
            <w:pPr>
              <w:spacing w:line="300" w:lineRule="exact"/>
              <w:jc w:val="center"/>
              <w:rPr>
                <w:rFonts w:hint="eastAsia" w:ascii="宋体" w:hAnsi="宋体" w:cs="宋体"/>
                <w:color w:val="auto"/>
                <w:szCs w:val="21"/>
              </w:rPr>
            </w:pPr>
            <w:r>
              <w:rPr>
                <w:rFonts w:hint="eastAsia" w:ascii="宋体" w:hAnsi="宋体" w:cs="宋体"/>
                <w:color w:val="auto"/>
                <w:szCs w:val="21"/>
              </w:rPr>
              <w:t>合　计</w:t>
            </w:r>
          </w:p>
        </w:tc>
        <w:tc>
          <w:tcPr>
            <w:tcW w:w="541" w:type="dxa"/>
            <w:gridSpan w:val="2"/>
            <w:noWrap w:val="0"/>
            <w:vAlign w:val="center"/>
          </w:tcPr>
          <w:p w14:paraId="55A77BBC">
            <w:pPr>
              <w:spacing w:line="300" w:lineRule="exact"/>
              <w:jc w:val="center"/>
              <w:rPr>
                <w:rFonts w:hint="eastAsia" w:ascii="宋体" w:hAnsi="宋体" w:cs="宋体"/>
                <w:color w:val="auto"/>
                <w:szCs w:val="21"/>
              </w:rPr>
            </w:pPr>
            <w:r>
              <w:rPr>
                <w:rFonts w:hint="eastAsia" w:ascii="宋体" w:hAnsi="宋体" w:cs="宋体"/>
                <w:color w:val="auto"/>
                <w:szCs w:val="21"/>
              </w:rPr>
              <w:t>100</w:t>
            </w:r>
          </w:p>
        </w:tc>
        <w:tc>
          <w:tcPr>
            <w:tcW w:w="705" w:type="dxa"/>
            <w:noWrap w:val="0"/>
            <w:vAlign w:val="top"/>
          </w:tcPr>
          <w:p w14:paraId="7EC57BB1">
            <w:pPr>
              <w:spacing w:line="300" w:lineRule="exact"/>
              <w:jc w:val="center"/>
              <w:rPr>
                <w:rFonts w:hint="eastAsia" w:ascii="宋体" w:hAnsi="宋体" w:cs="宋体"/>
                <w:color w:val="auto"/>
                <w:sz w:val="30"/>
                <w:szCs w:val="30"/>
              </w:rPr>
            </w:pPr>
          </w:p>
        </w:tc>
      </w:tr>
    </w:tbl>
    <w:p w14:paraId="78F44094">
      <w:pPr>
        <w:ind w:left="641" w:hanging="641" w:hangingChars="304"/>
        <w:rPr>
          <w:color w:val="auto"/>
        </w:rPr>
      </w:pPr>
      <w:r>
        <w:rPr>
          <w:rFonts w:hint="eastAsia"/>
          <w:b/>
          <w:bCs/>
          <w:color w:val="auto"/>
        </w:rPr>
        <w:t>说明：</w:t>
      </w:r>
      <w:r>
        <w:rPr>
          <w:rFonts w:hint="eastAsia"/>
          <w:color w:val="auto"/>
        </w:rPr>
        <w:t>对各项指标进行打分，分数保留小数点后一位，单项内容最低分为0分，一般情况下，考核依据的数据以上年和本年度现有数据为准。</w:t>
      </w:r>
    </w:p>
    <w:p w14:paraId="74D0710D">
      <w:pPr>
        <w:rPr>
          <w:color w:val="auto"/>
        </w:rPr>
      </w:pPr>
    </w:p>
    <w:p w14:paraId="24413024">
      <w:pPr>
        <w:rPr>
          <w:color w:val="auto"/>
        </w:rPr>
      </w:pPr>
    </w:p>
    <w:p w14:paraId="4EC2CA57">
      <w:pPr>
        <w:rPr>
          <w:rFonts w:ascii="黑体" w:hAnsi="黑体" w:eastAsia="黑体" w:cs="黑体"/>
          <w:color w:val="auto"/>
          <w:sz w:val="32"/>
          <w:szCs w:val="32"/>
        </w:rPr>
      </w:pPr>
    </w:p>
    <w:p w14:paraId="1DEA36C0">
      <w:pPr>
        <w:pStyle w:val="2"/>
        <w:rPr>
          <w:rFonts w:ascii="黑体" w:hAnsi="黑体" w:eastAsia="黑体" w:cs="黑体"/>
          <w:color w:val="auto"/>
          <w:sz w:val="32"/>
          <w:szCs w:val="32"/>
        </w:rPr>
      </w:pPr>
    </w:p>
    <w:p w14:paraId="4E08E15C"/>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F6095"/>
    <w:rsid w:val="37FF6095"/>
    <w:rsid w:val="67D67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 w:type="paragraph" w:customStyle="1" w:styleId="5">
    <w:name w:val="列表段落1"/>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1045</Words>
  <Characters>1104</Characters>
  <Lines>0</Lines>
  <Paragraphs>0</Paragraphs>
  <TotalTime>0</TotalTime>
  <ScaleCrop>false</ScaleCrop>
  <LinksUpToDate>false</LinksUpToDate>
  <CharactersWithSpaces>1105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2026-01-27T02:36:00Z</dcterms:created>
  <dc:creator>李敏</dc:creator>
  <cp:lastModifiedBy>李敏</cp:lastModifiedBy>
  <dcterms:modified xsi:type="dcterms:W3CDTF">2026-01-27T02:38:18Z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34D4EFF8CEA541D6A9D9A8CE7B5EDBDA_11</vt:lpwstr>
  </property>
  <property fmtid="{D5CDD505-2E9C-101B-9397-08002B2CF9AE}" pid="4" name="KSOTemplateDocerSaveRecord">
    <vt:lpwstr>eyJoZGlkIjoiMmUyYmI0NzFiOTllNTNhYjQzN2RiNmRkODVlNjNiM2QiLCJ1c2VySWQiOiIxMDYwMDc1MTc4In0=</vt:lpwstr>
  </property>
</Properties>
</file>