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1936">
      <w:pPr>
        <w:widowControl/>
        <w:spacing w:beforeLines="0" w:afterLines="0" w:line="520" w:lineRule="exact"/>
        <w:jc w:val="left"/>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8</w:t>
      </w:r>
    </w:p>
    <w:p w14:paraId="0E426AFE">
      <w:pPr>
        <w:pStyle w:val="2"/>
        <w:ind w:left="0" w:leftChars="0" w:right="23" w:rightChars="11" w:firstLine="0" w:firstLineChars="0"/>
        <w:jc w:val="center"/>
        <w:rPr>
          <w:rFonts w:ascii="黑体" w:hAnsi="黑体" w:eastAsia="黑体" w:cs="黑体"/>
          <w:color w:val="auto"/>
          <w:sz w:val="32"/>
          <w:szCs w:val="32"/>
        </w:rPr>
      </w:pPr>
      <w:r>
        <w:rPr>
          <w:rFonts w:hint="eastAsia" w:ascii="方正小标宋简体" w:hAnsi="方正小标宋简体" w:eastAsia="方正小标宋简体" w:cs="方正小标宋简体"/>
          <w:color w:val="auto"/>
          <w:sz w:val="44"/>
          <w:szCs w:val="44"/>
        </w:rPr>
        <w:t>北京市市级农业环境微生物种质资源库考评表</w:t>
      </w:r>
      <w:bookmarkStart w:id="0" w:name="_GoBack"/>
      <w:bookmarkEnd w:id="0"/>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0"/>
        <w:gridCol w:w="585"/>
        <w:gridCol w:w="2340"/>
        <w:gridCol w:w="1065"/>
        <w:gridCol w:w="1260"/>
        <w:gridCol w:w="1115"/>
        <w:gridCol w:w="160"/>
        <w:gridCol w:w="541"/>
        <w:gridCol w:w="705"/>
      </w:tblGrid>
      <w:tr w14:paraId="2F528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7" w:hRule="atLeast"/>
          <w:jc w:val="center"/>
        </w:trPr>
        <w:tc>
          <w:tcPr>
            <w:tcW w:w="1245" w:type="dxa"/>
            <w:gridSpan w:val="2"/>
            <w:noWrap w:val="0"/>
            <w:vAlign w:val="center"/>
          </w:tcPr>
          <w:p w14:paraId="11303A7E">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被考评单位</w:t>
            </w:r>
          </w:p>
        </w:tc>
        <w:tc>
          <w:tcPr>
            <w:tcW w:w="2340" w:type="dxa"/>
            <w:noWrap w:val="0"/>
            <w:vAlign w:val="center"/>
          </w:tcPr>
          <w:p w14:paraId="30016720">
            <w:pPr>
              <w:autoSpaceDE w:val="0"/>
              <w:autoSpaceDN w:val="0"/>
              <w:spacing w:line="260" w:lineRule="exact"/>
              <w:rPr>
                <w:rFonts w:ascii="宋体" w:hAnsi="宋体" w:cs="宋体"/>
                <w:color w:val="auto"/>
                <w:szCs w:val="21"/>
              </w:rPr>
            </w:pPr>
          </w:p>
        </w:tc>
        <w:tc>
          <w:tcPr>
            <w:tcW w:w="1065" w:type="dxa"/>
            <w:noWrap w:val="0"/>
            <w:vAlign w:val="center"/>
          </w:tcPr>
          <w:p w14:paraId="71579FEF">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专家签字</w:t>
            </w:r>
          </w:p>
        </w:tc>
        <w:tc>
          <w:tcPr>
            <w:tcW w:w="1260" w:type="dxa"/>
            <w:noWrap w:val="0"/>
            <w:vAlign w:val="center"/>
          </w:tcPr>
          <w:p w14:paraId="1F092832">
            <w:pPr>
              <w:autoSpaceDE w:val="0"/>
              <w:autoSpaceDN w:val="0"/>
              <w:spacing w:line="260" w:lineRule="exact"/>
              <w:jc w:val="center"/>
              <w:rPr>
                <w:rFonts w:ascii="宋体" w:hAnsi="宋体" w:cs="宋体"/>
                <w:color w:val="auto"/>
                <w:szCs w:val="21"/>
              </w:rPr>
            </w:pPr>
          </w:p>
        </w:tc>
        <w:tc>
          <w:tcPr>
            <w:tcW w:w="1115" w:type="dxa"/>
            <w:noWrap w:val="0"/>
            <w:vAlign w:val="center"/>
          </w:tcPr>
          <w:p w14:paraId="414F4E49">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填表日期</w:t>
            </w:r>
          </w:p>
        </w:tc>
        <w:tc>
          <w:tcPr>
            <w:tcW w:w="1406" w:type="dxa"/>
            <w:gridSpan w:val="3"/>
            <w:noWrap w:val="0"/>
            <w:vAlign w:val="top"/>
          </w:tcPr>
          <w:p w14:paraId="10432B64">
            <w:pPr>
              <w:autoSpaceDE w:val="0"/>
              <w:autoSpaceDN w:val="0"/>
              <w:spacing w:line="260" w:lineRule="exact"/>
              <w:ind w:firstLine="105" w:firstLineChars="50"/>
              <w:rPr>
                <w:rFonts w:ascii="宋体" w:hAnsi="宋体" w:cs="宋体"/>
                <w:color w:val="auto"/>
                <w:szCs w:val="21"/>
              </w:rPr>
            </w:pPr>
          </w:p>
        </w:tc>
      </w:tr>
      <w:tr w14:paraId="4CD16B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0212884B">
            <w:pPr>
              <w:jc w:val="center"/>
              <w:rPr>
                <w:rFonts w:ascii="宋体" w:hAnsi="宋体" w:cs="宋体"/>
                <w:color w:val="auto"/>
                <w:sz w:val="24"/>
              </w:rPr>
            </w:pPr>
            <w:r>
              <w:rPr>
                <w:rFonts w:hint="eastAsia" w:ascii="黑体" w:hAnsi="黑体" w:eastAsia="黑体" w:cs="黑体"/>
                <w:bCs/>
                <w:color w:val="auto"/>
                <w:sz w:val="24"/>
              </w:rPr>
              <w:t>按以下标准评分（共21项）</w:t>
            </w:r>
          </w:p>
        </w:tc>
        <w:tc>
          <w:tcPr>
            <w:tcW w:w="705" w:type="dxa"/>
            <w:noWrap w:val="0"/>
            <w:vAlign w:val="top"/>
          </w:tcPr>
          <w:p w14:paraId="4DA5DA19">
            <w:pPr>
              <w:spacing w:line="220" w:lineRule="exact"/>
              <w:jc w:val="center"/>
              <w:rPr>
                <w:rFonts w:ascii="宋体" w:hAnsi="宋体" w:cs="宋体"/>
                <w:color w:val="auto"/>
                <w:sz w:val="30"/>
                <w:szCs w:val="30"/>
              </w:rPr>
            </w:pPr>
          </w:p>
        </w:tc>
      </w:tr>
      <w:tr w14:paraId="680FE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noWrap w:val="0"/>
            <w:vAlign w:val="top"/>
          </w:tcPr>
          <w:p w14:paraId="5848B3B1">
            <w:pPr>
              <w:spacing w:line="220" w:lineRule="exact"/>
              <w:jc w:val="center"/>
              <w:rPr>
                <w:rFonts w:ascii="黑体" w:hAnsi="黑体" w:eastAsia="黑体" w:cs="黑体"/>
                <w:color w:val="auto"/>
                <w:szCs w:val="21"/>
              </w:rPr>
            </w:pPr>
            <w:r>
              <w:rPr>
                <w:rFonts w:hint="eastAsia" w:ascii="黑体" w:hAnsi="黑体" w:eastAsia="黑体" w:cs="黑体"/>
                <w:color w:val="auto"/>
                <w:szCs w:val="21"/>
              </w:rPr>
              <w:t>考评</w:t>
            </w:r>
          </w:p>
          <w:p w14:paraId="141B40DC">
            <w:pPr>
              <w:spacing w:line="220" w:lineRule="exact"/>
              <w:jc w:val="center"/>
              <w:rPr>
                <w:rFonts w:ascii="黑体" w:hAnsi="黑体" w:eastAsia="黑体" w:cs="黑体"/>
                <w:color w:val="auto"/>
                <w:szCs w:val="21"/>
              </w:rPr>
            </w:pPr>
            <w:r>
              <w:rPr>
                <w:rFonts w:hint="eastAsia" w:ascii="黑体" w:hAnsi="黑体" w:eastAsia="黑体" w:cs="黑体"/>
                <w:color w:val="auto"/>
                <w:szCs w:val="21"/>
              </w:rPr>
              <w:t>项目</w:t>
            </w:r>
          </w:p>
        </w:tc>
        <w:tc>
          <w:tcPr>
            <w:tcW w:w="6525" w:type="dxa"/>
            <w:gridSpan w:val="6"/>
            <w:noWrap w:val="0"/>
            <w:vAlign w:val="center"/>
          </w:tcPr>
          <w:p w14:paraId="20BF7F4C">
            <w:pPr>
              <w:spacing w:line="220" w:lineRule="exact"/>
              <w:jc w:val="center"/>
              <w:rPr>
                <w:rFonts w:ascii="黑体" w:hAnsi="黑体" w:eastAsia="黑体" w:cs="黑体"/>
                <w:color w:val="auto"/>
                <w:szCs w:val="21"/>
              </w:rPr>
            </w:pPr>
            <w:r>
              <w:rPr>
                <w:rFonts w:hint="eastAsia" w:ascii="黑体" w:hAnsi="黑体" w:eastAsia="黑体" w:cs="黑体"/>
                <w:color w:val="auto"/>
                <w:szCs w:val="21"/>
              </w:rPr>
              <w:t>具体考核指标</w:t>
            </w:r>
          </w:p>
        </w:tc>
        <w:tc>
          <w:tcPr>
            <w:tcW w:w="541" w:type="dxa"/>
            <w:noWrap w:val="0"/>
            <w:vAlign w:val="center"/>
          </w:tcPr>
          <w:p w14:paraId="37D2DAC2">
            <w:pPr>
              <w:spacing w:line="220" w:lineRule="exact"/>
              <w:jc w:val="center"/>
              <w:rPr>
                <w:rFonts w:ascii="黑体" w:hAnsi="黑体" w:eastAsia="黑体" w:cs="黑体"/>
                <w:color w:val="auto"/>
                <w:szCs w:val="21"/>
              </w:rPr>
            </w:pPr>
            <w:r>
              <w:rPr>
                <w:rFonts w:hint="eastAsia" w:ascii="黑体" w:hAnsi="黑体" w:eastAsia="黑体" w:cs="黑体"/>
                <w:color w:val="auto"/>
                <w:szCs w:val="21"/>
              </w:rPr>
              <w:t>分值</w:t>
            </w:r>
          </w:p>
        </w:tc>
        <w:tc>
          <w:tcPr>
            <w:tcW w:w="705" w:type="dxa"/>
            <w:noWrap w:val="0"/>
            <w:vAlign w:val="center"/>
          </w:tcPr>
          <w:p w14:paraId="403DCEB8">
            <w:pPr>
              <w:spacing w:line="220" w:lineRule="exact"/>
              <w:jc w:val="center"/>
              <w:rPr>
                <w:rFonts w:ascii="黑体" w:hAnsi="黑体" w:eastAsia="黑体" w:cs="黑体"/>
                <w:color w:val="auto"/>
                <w:szCs w:val="21"/>
              </w:rPr>
            </w:pPr>
            <w:r>
              <w:rPr>
                <w:rFonts w:hint="eastAsia" w:ascii="黑体" w:hAnsi="黑体" w:eastAsia="黑体" w:cs="黑体"/>
                <w:color w:val="auto"/>
                <w:szCs w:val="21"/>
              </w:rPr>
              <w:t>得分</w:t>
            </w:r>
          </w:p>
        </w:tc>
      </w:tr>
      <w:tr w14:paraId="56B1E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restart"/>
            <w:noWrap w:val="0"/>
            <w:vAlign w:val="center"/>
          </w:tcPr>
          <w:p w14:paraId="46DBACD8">
            <w:pPr>
              <w:adjustRightInd w:val="0"/>
              <w:snapToGrid w:val="0"/>
              <w:spacing w:line="360" w:lineRule="auto"/>
              <w:jc w:val="center"/>
              <w:rPr>
                <w:b/>
                <w:bCs/>
                <w:color w:val="auto"/>
                <w:szCs w:val="20"/>
              </w:rPr>
            </w:pPr>
            <w:r>
              <w:rPr>
                <w:b/>
                <w:bCs/>
                <w:color w:val="auto"/>
                <w:szCs w:val="20"/>
              </w:rPr>
              <w:t>基</w:t>
            </w:r>
          </w:p>
          <w:p w14:paraId="343468D8">
            <w:pPr>
              <w:adjustRightInd w:val="0"/>
              <w:snapToGrid w:val="0"/>
              <w:spacing w:line="360" w:lineRule="auto"/>
              <w:jc w:val="center"/>
              <w:rPr>
                <w:b/>
                <w:bCs/>
                <w:color w:val="auto"/>
                <w:szCs w:val="20"/>
              </w:rPr>
            </w:pPr>
            <w:r>
              <w:rPr>
                <w:rFonts w:hint="eastAsia"/>
                <w:b/>
                <w:bCs/>
                <w:color w:val="auto"/>
                <w:szCs w:val="20"/>
              </w:rPr>
              <w:t>础</w:t>
            </w:r>
          </w:p>
          <w:p w14:paraId="32C22271">
            <w:pPr>
              <w:adjustRightInd w:val="0"/>
              <w:snapToGrid w:val="0"/>
              <w:spacing w:line="360" w:lineRule="auto"/>
              <w:jc w:val="center"/>
              <w:rPr>
                <w:b/>
                <w:bCs/>
                <w:color w:val="auto"/>
                <w:szCs w:val="20"/>
              </w:rPr>
            </w:pPr>
            <w:r>
              <w:rPr>
                <w:b/>
                <w:bCs/>
                <w:color w:val="auto"/>
                <w:szCs w:val="20"/>
              </w:rPr>
              <w:t>条</w:t>
            </w:r>
          </w:p>
          <w:p w14:paraId="2556A384">
            <w:pPr>
              <w:adjustRightInd w:val="0"/>
              <w:snapToGrid w:val="0"/>
              <w:spacing w:line="360" w:lineRule="auto"/>
              <w:jc w:val="center"/>
              <w:rPr>
                <w:b/>
                <w:bCs/>
                <w:color w:val="auto"/>
                <w:szCs w:val="20"/>
              </w:rPr>
            </w:pPr>
            <w:r>
              <w:rPr>
                <w:b/>
                <w:bCs/>
                <w:color w:val="auto"/>
                <w:szCs w:val="20"/>
              </w:rPr>
              <w:t>件</w:t>
            </w:r>
          </w:p>
          <w:p w14:paraId="0F2F6239">
            <w:pPr>
              <w:adjustRightInd w:val="0"/>
              <w:snapToGrid w:val="0"/>
              <w:spacing w:line="360" w:lineRule="auto"/>
              <w:jc w:val="center"/>
              <w:rPr>
                <w:b/>
                <w:bCs/>
                <w:color w:val="auto"/>
                <w:szCs w:val="20"/>
              </w:rPr>
            </w:pPr>
            <w:r>
              <w:rPr>
                <w:b/>
                <w:bCs/>
                <w:color w:val="auto"/>
                <w:szCs w:val="20"/>
              </w:rPr>
              <w:t>（40）</w:t>
            </w:r>
          </w:p>
          <w:p w14:paraId="6050DB91">
            <w:pPr>
              <w:adjustRightInd w:val="0"/>
              <w:snapToGrid w:val="0"/>
              <w:spacing w:line="360" w:lineRule="auto"/>
              <w:jc w:val="center"/>
              <w:rPr>
                <w:rFonts w:hint="eastAsia"/>
                <w:color w:val="auto"/>
                <w:szCs w:val="20"/>
              </w:rPr>
            </w:pPr>
            <w:r>
              <w:rPr>
                <w:rFonts w:hint="eastAsia"/>
                <w:b/>
                <w:bCs/>
                <w:color w:val="auto"/>
                <w:szCs w:val="20"/>
              </w:rPr>
              <w:t>分</w:t>
            </w:r>
          </w:p>
        </w:tc>
        <w:tc>
          <w:tcPr>
            <w:tcW w:w="6525" w:type="dxa"/>
            <w:gridSpan w:val="6"/>
            <w:noWrap w:val="0"/>
            <w:vAlign w:val="center"/>
          </w:tcPr>
          <w:p w14:paraId="779F6A1F">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1.具备超净工作台、生化培养箱、可控温摇床、高压灭菌锅等硬件设备，保障农业环境微生物菌种分离和培养条件。</w:t>
            </w:r>
          </w:p>
        </w:tc>
        <w:tc>
          <w:tcPr>
            <w:tcW w:w="541" w:type="dxa"/>
            <w:noWrap w:val="0"/>
            <w:vAlign w:val="center"/>
          </w:tcPr>
          <w:p w14:paraId="6AF2F37E">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6186F7ED">
            <w:pPr>
              <w:spacing w:line="220" w:lineRule="exact"/>
              <w:jc w:val="center"/>
              <w:rPr>
                <w:rFonts w:ascii="宋体" w:hAnsi="宋体" w:cs="宋体"/>
                <w:color w:val="auto"/>
                <w:sz w:val="30"/>
                <w:szCs w:val="30"/>
              </w:rPr>
            </w:pPr>
          </w:p>
        </w:tc>
      </w:tr>
      <w:tr w14:paraId="6B0AC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2744C456">
            <w:pPr>
              <w:spacing w:line="220" w:lineRule="exact"/>
              <w:ind w:left="113" w:right="113"/>
              <w:jc w:val="center"/>
              <w:rPr>
                <w:rFonts w:ascii="宋体" w:hAnsi="宋体" w:cs="宋体"/>
                <w:color w:val="auto"/>
                <w:szCs w:val="21"/>
              </w:rPr>
            </w:pPr>
          </w:p>
        </w:tc>
        <w:tc>
          <w:tcPr>
            <w:tcW w:w="6525" w:type="dxa"/>
            <w:gridSpan w:val="6"/>
            <w:noWrap w:val="0"/>
            <w:vAlign w:val="center"/>
          </w:tcPr>
          <w:p w14:paraId="2B666CB8">
            <w:pPr>
              <w:snapToGrid w:val="0"/>
              <w:spacing w:beforeLines="0" w:afterLines="0" w:line="360" w:lineRule="exact"/>
              <w:ind w:left="105" w:leftChars="50"/>
              <w:jc w:val="left"/>
              <w:rPr>
                <w:rFonts w:ascii="宋体" w:hAnsi="宋体" w:cs="宋体"/>
                <w:color w:val="auto"/>
                <w:szCs w:val="21"/>
              </w:rPr>
            </w:pPr>
            <w:r>
              <w:rPr>
                <w:rFonts w:hint="eastAsia" w:ascii="宋体" w:hAnsi="宋体" w:cs="宋体"/>
                <w:color w:val="auto"/>
                <w:szCs w:val="21"/>
              </w:rPr>
              <w:t>2.具备4℃冰箱、-</w:t>
            </w:r>
            <w:r>
              <w:rPr>
                <w:rFonts w:ascii="宋体" w:hAnsi="宋体" w:cs="宋体"/>
                <w:color w:val="auto"/>
                <w:szCs w:val="21"/>
              </w:rPr>
              <w:t>80</w:t>
            </w:r>
            <w:r>
              <w:rPr>
                <w:rFonts w:hint="eastAsia" w:ascii="宋体" w:hAnsi="宋体" w:cs="宋体"/>
                <w:color w:val="auto"/>
                <w:szCs w:val="21"/>
              </w:rPr>
              <w:t>℃超低温冰箱、液氮罐等硬件设备，满足微生物种质资源多种保藏方式需求。</w:t>
            </w:r>
          </w:p>
        </w:tc>
        <w:tc>
          <w:tcPr>
            <w:tcW w:w="541" w:type="dxa"/>
            <w:noWrap w:val="0"/>
            <w:vAlign w:val="center"/>
          </w:tcPr>
          <w:p w14:paraId="3AF0D1F0">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17F90F62">
            <w:pPr>
              <w:spacing w:line="220" w:lineRule="exact"/>
              <w:jc w:val="center"/>
              <w:rPr>
                <w:rFonts w:ascii="宋体" w:hAnsi="宋体" w:cs="宋体"/>
                <w:color w:val="auto"/>
                <w:sz w:val="30"/>
                <w:szCs w:val="30"/>
              </w:rPr>
            </w:pPr>
          </w:p>
        </w:tc>
      </w:tr>
      <w:tr w14:paraId="657DC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0E8FE346">
            <w:pPr>
              <w:spacing w:line="220" w:lineRule="exact"/>
              <w:ind w:left="113" w:right="113"/>
              <w:jc w:val="center"/>
              <w:rPr>
                <w:rFonts w:ascii="宋体" w:hAnsi="宋体" w:cs="宋体"/>
                <w:color w:val="auto"/>
                <w:szCs w:val="21"/>
              </w:rPr>
            </w:pPr>
          </w:p>
        </w:tc>
        <w:tc>
          <w:tcPr>
            <w:tcW w:w="6525" w:type="dxa"/>
            <w:gridSpan w:val="6"/>
            <w:noWrap w:val="0"/>
            <w:vAlign w:val="center"/>
          </w:tcPr>
          <w:p w14:paraId="731AA409">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3.配备微生物菌株分离培养无菌操作室面积不小于18m</w:t>
            </w:r>
            <w:r>
              <w:rPr>
                <w:rFonts w:ascii="宋体" w:hAnsi="宋体" w:cs="宋体"/>
                <w:color w:val="auto"/>
                <w:szCs w:val="21"/>
                <w:vertAlign w:val="superscript"/>
              </w:rPr>
              <w:t>2</w:t>
            </w:r>
            <w:r>
              <w:rPr>
                <w:rFonts w:hint="eastAsia" w:ascii="宋体" w:hAnsi="宋体" w:cs="宋体"/>
                <w:color w:val="auto"/>
                <w:szCs w:val="21"/>
              </w:rPr>
              <w:t>。</w:t>
            </w:r>
          </w:p>
        </w:tc>
        <w:tc>
          <w:tcPr>
            <w:tcW w:w="541" w:type="dxa"/>
            <w:noWrap w:val="0"/>
            <w:vAlign w:val="center"/>
          </w:tcPr>
          <w:p w14:paraId="2F9B9635">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7EC0AB6F">
            <w:pPr>
              <w:spacing w:line="220" w:lineRule="exact"/>
              <w:jc w:val="center"/>
              <w:rPr>
                <w:rFonts w:ascii="宋体" w:hAnsi="宋体" w:cs="宋体"/>
                <w:color w:val="auto"/>
                <w:sz w:val="30"/>
                <w:szCs w:val="30"/>
              </w:rPr>
            </w:pPr>
          </w:p>
        </w:tc>
      </w:tr>
      <w:tr w14:paraId="07D97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770D5709">
            <w:pPr>
              <w:spacing w:line="220" w:lineRule="exact"/>
              <w:ind w:left="113" w:right="113"/>
              <w:jc w:val="center"/>
              <w:rPr>
                <w:rFonts w:ascii="宋体" w:hAnsi="宋体" w:cs="宋体"/>
                <w:color w:val="auto"/>
                <w:szCs w:val="21"/>
              </w:rPr>
            </w:pPr>
          </w:p>
        </w:tc>
        <w:tc>
          <w:tcPr>
            <w:tcW w:w="6525" w:type="dxa"/>
            <w:gridSpan w:val="6"/>
            <w:noWrap w:val="0"/>
            <w:vAlign w:val="center"/>
          </w:tcPr>
          <w:p w14:paraId="2336620C">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4.配备微生物种质资源保藏室，面积不小于10m</w:t>
            </w:r>
            <w:r>
              <w:rPr>
                <w:rFonts w:ascii="宋体" w:hAnsi="宋体" w:cs="宋体"/>
                <w:color w:val="auto"/>
                <w:szCs w:val="21"/>
                <w:vertAlign w:val="superscript"/>
              </w:rPr>
              <w:t>2</w:t>
            </w:r>
            <w:r>
              <w:rPr>
                <w:rFonts w:hint="eastAsia" w:ascii="宋体" w:hAnsi="宋体" w:cs="宋体"/>
                <w:color w:val="auto"/>
                <w:szCs w:val="21"/>
              </w:rPr>
              <w:t>。</w:t>
            </w:r>
          </w:p>
        </w:tc>
        <w:tc>
          <w:tcPr>
            <w:tcW w:w="541" w:type="dxa"/>
            <w:noWrap w:val="0"/>
            <w:vAlign w:val="center"/>
          </w:tcPr>
          <w:p w14:paraId="5014A230">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239A7FCB">
            <w:pPr>
              <w:spacing w:line="220" w:lineRule="exact"/>
              <w:jc w:val="center"/>
              <w:rPr>
                <w:rFonts w:ascii="宋体" w:hAnsi="宋体" w:cs="宋体"/>
                <w:color w:val="auto"/>
                <w:sz w:val="30"/>
                <w:szCs w:val="30"/>
              </w:rPr>
            </w:pPr>
          </w:p>
        </w:tc>
      </w:tr>
      <w:tr w14:paraId="17B42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80" w:hRule="atLeast"/>
          <w:jc w:val="center"/>
        </w:trPr>
        <w:tc>
          <w:tcPr>
            <w:tcW w:w="660" w:type="dxa"/>
            <w:vMerge w:val="continue"/>
            <w:noWrap w:val="0"/>
            <w:vAlign w:val="center"/>
          </w:tcPr>
          <w:p w14:paraId="3C153A3D">
            <w:pPr>
              <w:spacing w:line="220" w:lineRule="exact"/>
              <w:jc w:val="center"/>
              <w:rPr>
                <w:rFonts w:ascii="宋体" w:hAnsi="宋体" w:cs="宋体"/>
                <w:color w:val="auto"/>
                <w:sz w:val="30"/>
                <w:szCs w:val="30"/>
              </w:rPr>
            </w:pPr>
          </w:p>
        </w:tc>
        <w:tc>
          <w:tcPr>
            <w:tcW w:w="6525" w:type="dxa"/>
            <w:gridSpan w:val="6"/>
            <w:noWrap w:val="0"/>
            <w:vAlign w:val="center"/>
          </w:tcPr>
          <w:p w14:paraId="09D7DB8E">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5.具备开展分子生物学、生物化学等微生物种质资源筛选评价的实验室及配套仪器设备。</w:t>
            </w:r>
          </w:p>
        </w:tc>
        <w:tc>
          <w:tcPr>
            <w:tcW w:w="541" w:type="dxa"/>
            <w:noWrap w:val="0"/>
            <w:vAlign w:val="center"/>
          </w:tcPr>
          <w:p w14:paraId="75AF4E5E">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485461D2">
            <w:pPr>
              <w:spacing w:line="220" w:lineRule="exact"/>
              <w:jc w:val="center"/>
              <w:rPr>
                <w:rFonts w:ascii="宋体" w:hAnsi="宋体" w:cs="宋体"/>
                <w:color w:val="auto"/>
                <w:sz w:val="30"/>
                <w:szCs w:val="30"/>
              </w:rPr>
            </w:pPr>
          </w:p>
        </w:tc>
      </w:tr>
      <w:tr w14:paraId="76634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0" w:hRule="atLeast"/>
          <w:jc w:val="center"/>
        </w:trPr>
        <w:tc>
          <w:tcPr>
            <w:tcW w:w="660" w:type="dxa"/>
            <w:vMerge w:val="continue"/>
            <w:noWrap w:val="0"/>
            <w:vAlign w:val="center"/>
          </w:tcPr>
          <w:p w14:paraId="170A2FCB">
            <w:pPr>
              <w:spacing w:line="220" w:lineRule="exact"/>
              <w:jc w:val="center"/>
              <w:rPr>
                <w:rFonts w:ascii="宋体" w:hAnsi="宋体" w:cs="宋体"/>
                <w:color w:val="auto"/>
                <w:sz w:val="30"/>
                <w:szCs w:val="30"/>
              </w:rPr>
            </w:pPr>
          </w:p>
        </w:tc>
        <w:tc>
          <w:tcPr>
            <w:tcW w:w="6525" w:type="dxa"/>
            <w:gridSpan w:val="6"/>
            <w:noWrap w:val="0"/>
            <w:vAlign w:val="center"/>
          </w:tcPr>
          <w:p w14:paraId="09AD8457">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6.聘用或配备</w:t>
            </w:r>
            <w:r>
              <w:rPr>
                <w:rFonts w:ascii="宋体" w:hAnsi="宋体" w:cs="宋体"/>
                <w:color w:val="auto"/>
                <w:szCs w:val="21"/>
              </w:rPr>
              <w:t>2</w:t>
            </w:r>
            <w:r>
              <w:rPr>
                <w:rFonts w:hint="eastAsia" w:ascii="宋体" w:hAnsi="宋体" w:cs="宋体"/>
                <w:color w:val="auto"/>
                <w:szCs w:val="21"/>
              </w:rPr>
              <w:t>名及以上技术人员，负责农业环境微生物种质资源收集、分离及保藏工作。</w:t>
            </w:r>
          </w:p>
        </w:tc>
        <w:tc>
          <w:tcPr>
            <w:tcW w:w="541" w:type="dxa"/>
            <w:noWrap w:val="0"/>
            <w:vAlign w:val="center"/>
          </w:tcPr>
          <w:p w14:paraId="685A536E">
            <w:pPr>
              <w:spacing w:line="220" w:lineRule="exact"/>
              <w:jc w:val="center"/>
              <w:rPr>
                <w:rFonts w:ascii="宋体" w:hAnsi="宋体" w:cs="宋体"/>
                <w:color w:val="auto"/>
                <w:szCs w:val="21"/>
              </w:rPr>
            </w:pPr>
            <w:r>
              <w:rPr>
                <w:rFonts w:hint="eastAsia" w:ascii="宋体" w:hAnsi="宋体" w:cs="宋体"/>
                <w:color w:val="auto"/>
                <w:szCs w:val="21"/>
              </w:rPr>
              <w:t>5</w:t>
            </w:r>
          </w:p>
        </w:tc>
        <w:tc>
          <w:tcPr>
            <w:tcW w:w="705" w:type="dxa"/>
            <w:noWrap w:val="0"/>
            <w:vAlign w:val="top"/>
          </w:tcPr>
          <w:p w14:paraId="4021238A">
            <w:pPr>
              <w:spacing w:line="220" w:lineRule="exact"/>
              <w:jc w:val="center"/>
              <w:rPr>
                <w:rFonts w:ascii="宋体" w:hAnsi="宋体" w:cs="宋体"/>
                <w:color w:val="auto"/>
                <w:sz w:val="30"/>
                <w:szCs w:val="30"/>
              </w:rPr>
            </w:pPr>
          </w:p>
          <w:p w14:paraId="78612D7E">
            <w:pPr>
              <w:spacing w:line="220" w:lineRule="exact"/>
              <w:jc w:val="center"/>
              <w:rPr>
                <w:rFonts w:ascii="宋体" w:hAnsi="宋体" w:cs="宋体"/>
                <w:color w:val="auto"/>
                <w:sz w:val="30"/>
                <w:szCs w:val="30"/>
              </w:rPr>
            </w:pPr>
          </w:p>
          <w:p w14:paraId="2E1F807F">
            <w:pPr>
              <w:spacing w:line="220" w:lineRule="exact"/>
              <w:jc w:val="center"/>
              <w:rPr>
                <w:rFonts w:ascii="宋体" w:hAnsi="宋体" w:cs="宋体"/>
                <w:color w:val="auto"/>
                <w:sz w:val="30"/>
                <w:szCs w:val="30"/>
              </w:rPr>
            </w:pPr>
          </w:p>
        </w:tc>
      </w:tr>
      <w:tr w14:paraId="29D17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44EF037A">
            <w:pPr>
              <w:spacing w:line="220" w:lineRule="exact"/>
              <w:jc w:val="center"/>
              <w:rPr>
                <w:rFonts w:ascii="宋体" w:hAnsi="宋体" w:cs="宋体"/>
                <w:color w:val="auto"/>
                <w:sz w:val="30"/>
                <w:szCs w:val="30"/>
              </w:rPr>
            </w:pPr>
          </w:p>
        </w:tc>
        <w:tc>
          <w:tcPr>
            <w:tcW w:w="6525" w:type="dxa"/>
            <w:gridSpan w:val="6"/>
            <w:noWrap w:val="0"/>
            <w:vAlign w:val="center"/>
          </w:tcPr>
          <w:p w14:paraId="333955B4">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7.资料室、档案室、实验室、药物及仓库配备齐全，设有专职或兼职人员管理。</w:t>
            </w:r>
          </w:p>
        </w:tc>
        <w:tc>
          <w:tcPr>
            <w:tcW w:w="541" w:type="dxa"/>
            <w:noWrap w:val="0"/>
            <w:vAlign w:val="center"/>
          </w:tcPr>
          <w:p w14:paraId="4251F2DA">
            <w:pPr>
              <w:spacing w:line="220" w:lineRule="exact"/>
              <w:jc w:val="center"/>
              <w:rPr>
                <w:rFonts w:ascii="宋体" w:hAnsi="宋体" w:cs="宋体"/>
                <w:color w:val="auto"/>
                <w:szCs w:val="21"/>
              </w:rPr>
            </w:pPr>
            <w:r>
              <w:rPr>
                <w:rFonts w:hint="eastAsia" w:ascii="宋体" w:hAnsi="宋体" w:cs="宋体"/>
                <w:color w:val="auto"/>
                <w:szCs w:val="21"/>
              </w:rPr>
              <w:t>5</w:t>
            </w:r>
          </w:p>
        </w:tc>
        <w:tc>
          <w:tcPr>
            <w:tcW w:w="705" w:type="dxa"/>
            <w:noWrap w:val="0"/>
            <w:vAlign w:val="top"/>
          </w:tcPr>
          <w:p w14:paraId="1C79B329">
            <w:pPr>
              <w:spacing w:line="220" w:lineRule="exact"/>
              <w:jc w:val="center"/>
              <w:rPr>
                <w:rFonts w:ascii="宋体" w:hAnsi="宋体" w:cs="宋体"/>
                <w:color w:val="auto"/>
                <w:sz w:val="30"/>
                <w:szCs w:val="30"/>
              </w:rPr>
            </w:pPr>
          </w:p>
        </w:tc>
      </w:tr>
      <w:tr w14:paraId="407D7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restart"/>
            <w:noWrap w:val="0"/>
            <w:vAlign w:val="center"/>
          </w:tcPr>
          <w:p w14:paraId="582FDD19">
            <w:pPr>
              <w:spacing w:line="300" w:lineRule="exact"/>
              <w:jc w:val="center"/>
              <w:rPr>
                <w:rFonts w:ascii="宋体" w:hAnsi="宋体" w:cs="宋体"/>
                <w:b/>
                <w:bCs/>
                <w:color w:val="auto"/>
                <w:szCs w:val="21"/>
              </w:rPr>
            </w:pPr>
            <w:r>
              <w:rPr>
                <w:rFonts w:hint="eastAsia" w:ascii="宋体" w:hAnsi="宋体" w:cs="宋体"/>
                <w:b/>
                <w:bCs/>
                <w:color w:val="auto"/>
                <w:szCs w:val="21"/>
              </w:rPr>
              <w:t>技</w:t>
            </w:r>
          </w:p>
          <w:p w14:paraId="32BC371F">
            <w:pPr>
              <w:spacing w:line="300" w:lineRule="exact"/>
              <w:jc w:val="center"/>
              <w:rPr>
                <w:rFonts w:ascii="宋体" w:hAnsi="宋体" w:cs="宋体"/>
                <w:b/>
                <w:bCs/>
                <w:color w:val="auto"/>
                <w:szCs w:val="21"/>
              </w:rPr>
            </w:pPr>
            <w:r>
              <w:rPr>
                <w:rFonts w:hint="eastAsia" w:ascii="宋体" w:hAnsi="宋体" w:cs="宋体"/>
                <w:b/>
                <w:bCs/>
                <w:color w:val="auto"/>
                <w:szCs w:val="21"/>
              </w:rPr>
              <w:t>术</w:t>
            </w:r>
          </w:p>
          <w:p w14:paraId="63F4AA3C">
            <w:pPr>
              <w:spacing w:line="300" w:lineRule="exact"/>
              <w:jc w:val="center"/>
              <w:rPr>
                <w:rFonts w:ascii="宋体" w:hAnsi="宋体" w:cs="宋体"/>
                <w:b/>
                <w:bCs/>
                <w:color w:val="auto"/>
                <w:szCs w:val="21"/>
              </w:rPr>
            </w:pPr>
            <w:r>
              <w:rPr>
                <w:rFonts w:hint="eastAsia" w:ascii="宋体" w:hAnsi="宋体" w:cs="宋体"/>
                <w:b/>
                <w:bCs/>
                <w:color w:val="auto"/>
                <w:szCs w:val="21"/>
              </w:rPr>
              <w:t>条</w:t>
            </w:r>
          </w:p>
          <w:p w14:paraId="63F8C8F3">
            <w:pPr>
              <w:spacing w:line="300" w:lineRule="exact"/>
              <w:jc w:val="center"/>
              <w:rPr>
                <w:rFonts w:ascii="宋体" w:hAnsi="宋体" w:cs="宋体"/>
                <w:b/>
                <w:bCs/>
                <w:color w:val="auto"/>
                <w:szCs w:val="21"/>
              </w:rPr>
            </w:pPr>
            <w:r>
              <w:rPr>
                <w:rFonts w:hint="eastAsia" w:ascii="宋体" w:hAnsi="宋体" w:cs="宋体"/>
                <w:b/>
                <w:bCs/>
                <w:color w:val="auto"/>
                <w:szCs w:val="21"/>
              </w:rPr>
              <w:t>件</w:t>
            </w:r>
          </w:p>
          <w:p w14:paraId="451146EB">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6B7E2425">
            <w:pPr>
              <w:spacing w:line="300" w:lineRule="exact"/>
              <w:jc w:val="center"/>
              <w:rPr>
                <w:rFonts w:ascii="宋体" w:hAnsi="宋体" w:cs="宋体"/>
                <w:color w:val="auto"/>
                <w:szCs w:val="21"/>
              </w:rPr>
            </w:pPr>
            <w:r>
              <w:rPr>
                <w:rFonts w:hint="eastAsia" w:ascii="宋体" w:hAnsi="宋体" w:cs="宋体"/>
                <w:b/>
                <w:bCs/>
                <w:color w:val="auto"/>
                <w:szCs w:val="21"/>
              </w:rPr>
              <w:t>分</w:t>
            </w:r>
          </w:p>
          <w:p w14:paraId="72444C2E">
            <w:pPr>
              <w:spacing w:line="300" w:lineRule="exact"/>
              <w:jc w:val="center"/>
              <w:rPr>
                <w:rFonts w:ascii="宋体" w:hAnsi="宋体" w:cs="宋体"/>
                <w:color w:val="auto"/>
                <w:sz w:val="30"/>
                <w:szCs w:val="30"/>
              </w:rPr>
            </w:pPr>
          </w:p>
        </w:tc>
        <w:tc>
          <w:tcPr>
            <w:tcW w:w="6525" w:type="dxa"/>
            <w:gridSpan w:val="6"/>
            <w:noWrap w:val="0"/>
            <w:vAlign w:val="center"/>
          </w:tcPr>
          <w:p w14:paraId="3A869420">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8.农业环境微生物种质资源评价负责人员具有硕士以上学历或中级以上技术职称，具有微生物学、环境科学等相关知识背景和相应的工作经验。</w:t>
            </w:r>
          </w:p>
        </w:tc>
        <w:tc>
          <w:tcPr>
            <w:tcW w:w="541" w:type="dxa"/>
            <w:noWrap w:val="0"/>
            <w:vAlign w:val="center"/>
          </w:tcPr>
          <w:p w14:paraId="5176EB10">
            <w:pPr>
              <w:spacing w:line="300" w:lineRule="exact"/>
              <w:jc w:val="center"/>
              <w:rPr>
                <w:rFonts w:ascii="宋体" w:hAnsi="宋体" w:cs="宋体"/>
                <w:color w:val="auto"/>
                <w:szCs w:val="21"/>
              </w:rPr>
            </w:pPr>
            <w:r>
              <w:rPr>
                <w:rFonts w:ascii="宋体" w:hAnsi="宋体" w:cs="宋体"/>
                <w:color w:val="auto"/>
                <w:szCs w:val="21"/>
              </w:rPr>
              <w:t>6</w:t>
            </w:r>
          </w:p>
        </w:tc>
        <w:tc>
          <w:tcPr>
            <w:tcW w:w="705" w:type="dxa"/>
            <w:noWrap w:val="0"/>
            <w:vAlign w:val="top"/>
          </w:tcPr>
          <w:p w14:paraId="611DAFEF">
            <w:pPr>
              <w:spacing w:line="300" w:lineRule="exact"/>
              <w:jc w:val="center"/>
              <w:rPr>
                <w:rFonts w:ascii="宋体" w:hAnsi="宋体" w:cs="宋体"/>
                <w:color w:val="auto"/>
                <w:sz w:val="30"/>
                <w:szCs w:val="30"/>
              </w:rPr>
            </w:pPr>
          </w:p>
        </w:tc>
      </w:tr>
      <w:tr w14:paraId="16245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610B6250">
            <w:pPr>
              <w:spacing w:line="300" w:lineRule="exact"/>
              <w:jc w:val="center"/>
              <w:rPr>
                <w:rFonts w:ascii="宋体" w:hAnsi="宋体" w:cs="宋体"/>
                <w:color w:val="auto"/>
                <w:sz w:val="30"/>
                <w:szCs w:val="30"/>
              </w:rPr>
            </w:pPr>
          </w:p>
        </w:tc>
        <w:tc>
          <w:tcPr>
            <w:tcW w:w="6525" w:type="dxa"/>
            <w:gridSpan w:val="6"/>
            <w:noWrap w:val="0"/>
            <w:vAlign w:val="center"/>
          </w:tcPr>
          <w:p w14:paraId="028E8B82">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9.农业环境微生物种质资源分离和保藏人员具备3年以上相关工作经验。</w:t>
            </w:r>
          </w:p>
        </w:tc>
        <w:tc>
          <w:tcPr>
            <w:tcW w:w="541" w:type="dxa"/>
            <w:noWrap w:val="0"/>
            <w:vAlign w:val="center"/>
          </w:tcPr>
          <w:p w14:paraId="66B0F0F9">
            <w:pPr>
              <w:spacing w:line="30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52237C94">
            <w:pPr>
              <w:spacing w:line="300" w:lineRule="exact"/>
              <w:jc w:val="center"/>
              <w:rPr>
                <w:rFonts w:ascii="宋体" w:hAnsi="宋体" w:cs="宋体"/>
                <w:color w:val="auto"/>
                <w:sz w:val="30"/>
                <w:szCs w:val="30"/>
              </w:rPr>
            </w:pPr>
          </w:p>
        </w:tc>
      </w:tr>
      <w:tr w14:paraId="444C6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20" w:hRule="atLeast"/>
          <w:jc w:val="center"/>
        </w:trPr>
        <w:tc>
          <w:tcPr>
            <w:tcW w:w="660" w:type="dxa"/>
            <w:vMerge w:val="continue"/>
            <w:noWrap w:val="0"/>
            <w:vAlign w:val="center"/>
          </w:tcPr>
          <w:p w14:paraId="785D2866">
            <w:pPr>
              <w:spacing w:line="300" w:lineRule="exact"/>
              <w:jc w:val="center"/>
              <w:rPr>
                <w:rFonts w:ascii="宋体" w:hAnsi="宋体" w:cs="宋体"/>
                <w:color w:val="auto"/>
                <w:sz w:val="30"/>
                <w:szCs w:val="30"/>
              </w:rPr>
            </w:pPr>
          </w:p>
        </w:tc>
        <w:tc>
          <w:tcPr>
            <w:tcW w:w="6525" w:type="dxa"/>
            <w:gridSpan w:val="6"/>
            <w:noWrap w:val="0"/>
            <w:vAlign w:val="center"/>
          </w:tcPr>
          <w:p w14:paraId="2EBCA830">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10.具备微生物种质资源低温甘油管保藏、真空冷冻干燥保藏或超低温冷冻保藏技术。</w:t>
            </w:r>
          </w:p>
        </w:tc>
        <w:tc>
          <w:tcPr>
            <w:tcW w:w="541" w:type="dxa"/>
            <w:noWrap w:val="0"/>
            <w:vAlign w:val="center"/>
          </w:tcPr>
          <w:p w14:paraId="747D0021">
            <w:pPr>
              <w:spacing w:line="300" w:lineRule="exact"/>
              <w:jc w:val="center"/>
              <w:rPr>
                <w:rFonts w:ascii="宋体" w:hAnsi="宋体" w:cs="宋体"/>
                <w:color w:val="auto"/>
                <w:szCs w:val="21"/>
              </w:rPr>
            </w:pPr>
            <w:r>
              <w:rPr>
                <w:rFonts w:hint="eastAsia" w:ascii="宋体" w:hAnsi="宋体" w:cs="宋体"/>
                <w:color w:val="auto"/>
                <w:szCs w:val="21"/>
              </w:rPr>
              <w:t>8</w:t>
            </w:r>
          </w:p>
        </w:tc>
        <w:tc>
          <w:tcPr>
            <w:tcW w:w="705" w:type="dxa"/>
            <w:noWrap w:val="0"/>
            <w:vAlign w:val="top"/>
          </w:tcPr>
          <w:p w14:paraId="60DFC468">
            <w:pPr>
              <w:spacing w:line="300" w:lineRule="exact"/>
              <w:jc w:val="center"/>
              <w:rPr>
                <w:rFonts w:ascii="宋体" w:hAnsi="宋体" w:cs="宋体"/>
                <w:color w:val="auto"/>
                <w:sz w:val="30"/>
                <w:szCs w:val="30"/>
              </w:rPr>
            </w:pPr>
          </w:p>
        </w:tc>
      </w:tr>
      <w:tr w14:paraId="657B2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50" w:hRule="atLeast"/>
          <w:jc w:val="center"/>
        </w:trPr>
        <w:tc>
          <w:tcPr>
            <w:tcW w:w="660" w:type="dxa"/>
            <w:vMerge w:val="continue"/>
            <w:noWrap w:val="0"/>
            <w:vAlign w:val="center"/>
          </w:tcPr>
          <w:p w14:paraId="497022FF">
            <w:pPr>
              <w:spacing w:line="300" w:lineRule="exact"/>
              <w:jc w:val="center"/>
              <w:rPr>
                <w:rFonts w:ascii="宋体" w:hAnsi="宋体" w:cs="宋体"/>
                <w:color w:val="auto"/>
                <w:sz w:val="30"/>
                <w:szCs w:val="30"/>
              </w:rPr>
            </w:pPr>
          </w:p>
        </w:tc>
        <w:tc>
          <w:tcPr>
            <w:tcW w:w="6525" w:type="dxa"/>
            <w:gridSpan w:val="6"/>
            <w:noWrap w:val="0"/>
            <w:vAlign w:val="center"/>
          </w:tcPr>
          <w:p w14:paraId="10C78ACD">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11.已建有农业环境微生物种质资源库，并且已保藏菌株数量不少于500株。</w:t>
            </w:r>
          </w:p>
        </w:tc>
        <w:tc>
          <w:tcPr>
            <w:tcW w:w="541" w:type="dxa"/>
            <w:noWrap w:val="0"/>
            <w:vAlign w:val="center"/>
          </w:tcPr>
          <w:p w14:paraId="4F8FFDE2">
            <w:pPr>
              <w:spacing w:line="300" w:lineRule="exact"/>
              <w:jc w:val="center"/>
              <w:rPr>
                <w:rFonts w:ascii="宋体" w:hAnsi="宋体" w:cs="宋体"/>
                <w:color w:val="auto"/>
                <w:szCs w:val="21"/>
              </w:rPr>
            </w:pPr>
            <w:r>
              <w:rPr>
                <w:rFonts w:hint="eastAsia" w:ascii="宋体" w:hAnsi="宋体" w:cs="宋体"/>
                <w:color w:val="auto"/>
                <w:szCs w:val="21"/>
              </w:rPr>
              <w:t>8</w:t>
            </w:r>
          </w:p>
        </w:tc>
        <w:tc>
          <w:tcPr>
            <w:tcW w:w="705" w:type="dxa"/>
            <w:noWrap w:val="0"/>
            <w:vAlign w:val="top"/>
          </w:tcPr>
          <w:p w14:paraId="5306CD13">
            <w:pPr>
              <w:spacing w:line="300" w:lineRule="exact"/>
              <w:jc w:val="center"/>
              <w:rPr>
                <w:rFonts w:ascii="宋体" w:hAnsi="宋体" w:cs="宋体"/>
                <w:color w:val="auto"/>
                <w:sz w:val="30"/>
                <w:szCs w:val="30"/>
              </w:rPr>
            </w:pPr>
          </w:p>
        </w:tc>
      </w:tr>
      <w:tr w14:paraId="1738E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65" w:hRule="atLeast"/>
          <w:jc w:val="center"/>
        </w:trPr>
        <w:tc>
          <w:tcPr>
            <w:tcW w:w="660" w:type="dxa"/>
            <w:vMerge w:val="continue"/>
            <w:noWrap w:val="0"/>
            <w:vAlign w:val="center"/>
          </w:tcPr>
          <w:p w14:paraId="0C3FFED7">
            <w:pPr>
              <w:spacing w:line="300" w:lineRule="exact"/>
              <w:jc w:val="center"/>
              <w:rPr>
                <w:rFonts w:ascii="宋体" w:hAnsi="宋体" w:cs="宋体"/>
                <w:color w:val="auto"/>
                <w:sz w:val="30"/>
                <w:szCs w:val="30"/>
              </w:rPr>
            </w:pPr>
          </w:p>
        </w:tc>
        <w:tc>
          <w:tcPr>
            <w:tcW w:w="6525" w:type="dxa"/>
            <w:gridSpan w:val="6"/>
            <w:noWrap w:val="0"/>
            <w:vAlign w:val="center"/>
          </w:tcPr>
          <w:p w14:paraId="2BAD85FA">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12.具备农业环境微生物种质资源评价相关技术，承担过农业环境微生物种质资源建设和利用相关项目。</w:t>
            </w:r>
          </w:p>
        </w:tc>
        <w:tc>
          <w:tcPr>
            <w:tcW w:w="541" w:type="dxa"/>
            <w:noWrap w:val="0"/>
            <w:vAlign w:val="center"/>
          </w:tcPr>
          <w:p w14:paraId="2D2ACAFC">
            <w:pPr>
              <w:spacing w:line="300" w:lineRule="exact"/>
              <w:jc w:val="center"/>
              <w:rPr>
                <w:rFonts w:ascii="宋体" w:hAnsi="宋体" w:cs="宋体"/>
                <w:color w:val="auto"/>
                <w:szCs w:val="21"/>
              </w:rPr>
            </w:pPr>
            <w:r>
              <w:rPr>
                <w:rFonts w:ascii="宋体" w:hAnsi="宋体" w:cs="宋体"/>
                <w:color w:val="auto"/>
                <w:szCs w:val="21"/>
              </w:rPr>
              <w:t>6</w:t>
            </w:r>
          </w:p>
        </w:tc>
        <w:tc>
          <w:tcPr>
            <w:tcW w:w="705" w:type="dxa"/>
            <w:noWrap w:val="0"/>
            <w:vAlign w:val="top"/>
          </w:tcPr>
          <w:p w14:paraId="4070F7F0">
            <w:pPr>
              <w:spacing w:line="300" w:lineRule="exact"/>
              <w:jc w:val="center"/>
              <w:rPr>
                <w:rFonts w:ascii="宋体" w:hAnsi="宋体" w:cs="宋体"/>
                <w:color w:val="auto"/>
                <w:sz w:val="30"/>
                <w:szCs w:val="30"/>
              </w:rPr>
            </w:pPr>
          </w:p>
        </w:tc>
      </w:tr>
      <w:tr w14:paraId="5E811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77C30875">
            <w:pPr>
              <w:spacing w:line="300" w:lineRule="exact"/>
              <w:jc w:val="center"/>
              <w:rPr>
                <w:rFonts w:ascii="宋体" w:hAnsi="宋体" w:cs="宋体"/>
                <w:color w:val="auto"/>
                <w:sz w:val="30"/>
                <w:szCs w:val="30"/>
              </w:rPr>
            </w:pPr>
          </w:p>
        </w:tc>
        <w:tc>
          <w:tcPr>
            <w:tcW w:w="6525" w:type="dxa"/>
            <w:gridSpan w:val="6"/>
            <w:noWrap w:val="0"/>
            <w:vAlign w:val="center"/>
          </w:tcPr>
          <w:p w14:paraId="3B21A51F">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13.定期对技术人员进行微生物分离保藏、筛选评价及质量安全技术培训。</w:t>
            </w:r>
          </w:p>
        </w:tc>
        <w:tc>
          <w:tcPr>
            <w:tcW w:w="541" w:type="dxa"/>
            <w:noWrap w:val="0"/>
            <w:vAlign w:val="center"/>
          </w:tcPr>
          <w:p w14:paraId="6B455441">
            <w:pPr>
              <w:spacing w:line="30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313760A8">
            <w:pPr>
              <w:spacing w:line="300" w:lineRule="exact"/>
              <w:jc w:val="center"/>
              <w:rPr>
                <w:rFonts w:ascii="宋体" w:hAnsi="宋体" w:cs="宋体"/>
                <w:color w:val="auto"/>
                <w:sz w:val="30"/>
                <w:szCs w:val="30"/>
              </w:rPr>
            </w:pPr>
          </w:p>
        </w:tc>
      </w:tr>
      <w:tr w14:paraId="61B70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5" w:hRule="atLeast"/>
          <w:jc w:val="center"/>
        </w:trPr>
        <w:tc>
          <w:tcPr>
            <w:tcW w:w="660" w:type="dxa"/>
            <w:vMerge w:val="restart"/>
            <w:noWrap w:val="0"/>
            <w:vAlign w:val="center"/>
          </w:tcPr>
          <w:p w14:paraId="6C7CFDFC">
            <w:pPr>
              <w:spacing w:line="300" w:lineRule="exact"/>
              <w:jc w:val="center"/>
              <w:rPr>
                <w:rFonts w:ascii="宋体" w:hAnsi="宋体" w:cs="宋体"/>
                <w:b/>
                <w:bCs/>
                <w:color w:val="auto"/>
                <w:szCs w:val="21"/>
              </w:rPr>
            </w:pPr>
            <w:r>
              <w:rPr>
                <w:rFonts w:hint="eastAsia" w:ascii="宋体" w:hAnsi="宋体" w:cs="宋体"/>
                <w:b/>
                <w:bCs/>
                <w:color w:val="auto"/>
                <w:szCs w:val="21"/>
              </w:rPr>
              <w:t>管</w:t>
            </w:r>
          </w:p>
          <w:p w14:paraId="61943386">
            <w:pPr>
              <w:spacing w:line="300" w:lineRule="exact"/>
              <w:jc w:val="center"/>
              <w:rPr>
                <w:rFonts w:ascii="宋体" w:hAnsi="宋体" w:cs="宋体"/>
                <w:b/>
                <w:bCs/>
                <w:color w:val="auto"/>
                <w:szCs w:val="21"/>
              </w:rPr>
            </w:pPr>
            <w:r>
              <w:rPr>
                <w:rFonts w:hint="eastAsia" w:ascii="宋体" w:hAnsi="宋体" w:cs="宋体"/>
                <w:b/>
                <w:bCs/>
                <w:color w:val="auto"/>
                <w:szCs w:val="21"/>
              </w:rPr>
              <w:t>理</w:t>
            </w:r>
          </w:p>
          <w:p w14:paraId="445B06C0">
            <w:pPr>
              <w:spacing w:line="300" w:lineRule="exact"/>
              <w:jc w:val="center"/>
              <w:rPr>
                <w:rFonts w:ascii="宋体" w:hAnsi="宋体" w:cs="宋体"/>
                <w:b/>
                <w:bCs/>
                <w:color w:val="auto"/>
                <w:szCs w:val="21"/>
              </w:rPr>
            </w:pPr>
            <w:r>
              <w:rPr>
                <w:rFonts w:hint="eastAsia" w:ascii="宋体" w:hAnsi="宋体" w:cs="宋体"/>
                <w:b/>
                <w:bCs/>
                <w:color w:val="auto"/>
                <w:szCs w:val="21"/>
              </w:rPr>
              <w:t>制</w:t>
            </w:r>
          </w:p>
          <w:p w14:paraId="2F881E9B">
            <w:pPr>
              <w:spacing w:line="300" w:lineRule="exact"/>
              <w:jc w:val="center"/>
              <w:rPr>
                <w:rFonts w:ascii="宋体" w:hAnsi="宋体" w:cs="宋体"/>
                <w:b/>
                <w:bCs/>
                <w:color w:val="auto"/>
                <w:szCs w:val="21"/>
              </w:rPr>
            </w:pPr>
            <w:r>
              <w:rPr>
                <w:rFonts w:hint="eastAsia" w:ascii="宋体" w:hAnsi="宋体" w:cs="宋体"/>
                <w:b/>
                <w:bCs/>
                <w:color w:val="auto"/>
                <w:szCs w:val="21"/>
              </w:rPr>
              <w:t>度</w:t>
            </w:r>
          </w:p>
          <w:p w14:paraId="3D9382E3">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20</w:t>
            </w:r>
            <w:r>
              <w:rPr>
                <w:rFonts w:hint="eastAsia" w:ascii="宋体" w:hAnsi="宋体" w:cs="宋体"/>
                <w:b/>
                <w:bCs/>
                <w:color w:val="auto"/>
                <w:szCs w:val="21"/>
              </w:rPr>
              <w:t>）</w:t>
            </w:r>
          </w:p>
          <w:p w14:paraId="6640630F">
            <w:pPr>
              <w:spacing w:line="300" w:lineRule="exact"/>
              <w:jc w:val="center"/>
              <w:rPr>
                <w:rFonts w:ascii="宋体" w:hAnsi="宋体" w:cs="宋体"/>
                <w:b/>
                <w:bCs/>
                <w:color w:val="auto"/>
                <w:szCs w:val="21"/>
              </w:rPr>
            </w:pPr>
            <w:r>
              <w:rPr>
                <w:rFonts w:hint="eastAsia" w:ascii="宋体" w:hAnsi="宋体" w:cs="宋体"/>
                <w:b/>
                <w:bCs/>
                <w:color w:val="auto"/>
                <w:szCs w:val="21"/>
              </w:rPr>
              <w:t>分</w:t>
            </w:r>
          </w:p>
        </w:tc>
        <w:tc>
          <w:tcPr>
            <w:tcW w:w="6525" w:type="dxa"/>
            <w:gridSpan w:val="6"/>
            <w:noWrap w:val="0"/>
            <w:vAlign w:val="center"/>
          </w:tcPr>
          <w:p w14:paraId="0ED65B1F">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14.种质资源来源清晰，记录齐全，设定统一编号，并有专人负责。</w:t>
            </w:r>
          </w:p>
        </w:tc>
        <w:tc>
          <w:tcPr>
            <w:tcW w:w="541" w:type="dxa"/>
            <w:noWrap w:val="0"/>
            <w:vAlign w:val="center"/>
          </w:tcPr>
          <w:p w14:paraId="1A437B28">
            <w:pPr>
              <w:spacing w:line="300" w:lineRule="exact"/>
              <w:jc w:val="center"/>
              <w:rPr>
                <w:rFonts w:ascii="宋体" w:hAnsi="宋体" w:cs="宋体"/>
                <w:color w:val="auto"/>
                <w:szCs w:val="21"/>
              </w:rPr>
            </w:pPr>
            <w:r>
              <w:rPr>
                <w:rFonts w:ascii="宋体" w:hAnsi="宋体" w:cs="宋体"/>
                <w:color w:val="auto"/>
                <w:szCs w:val="21"/>
              </w:rPr>
              <w:t>3</w:t>
            </w:r>
          </w:p>
        </w:tc>
        <w:tc>
          <w:tcPr>
            <w:tcW w:w="705" w:type="dxa"/>
            <w:noWrap w:val="0"/>
            <w:vAlign w:val="top"/>
          </w:tcPr>
          <w:p w14:paraId="1233CBBB">
            <w:pPr>
              <w:spacing w:line="300" w:lineRule="exact"/>
              <w:jc w:val="center"/>
              <w:rPr>
                <w:rFonts w:ascii="宋体" w:hAnsi="宋体" w:cs="宋体"/>
                <w:color w:val="auto"/>
                <w:sz w:val="30"/>
                <w:szCs w:val="30"/>
              </w:rPr>
            </w:pPr>
          </w:p>
        </w:tc>
      </w:tr>
      <w:tr w14:paraId="5D003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jc w:val="center"/>
        </w:trPr>
        <w:tc>
          <w:tcPr>
            <w:tcW w:w="660" w:type="dxa"/>
            <w:vMerge w:val="continue"/>
            <w:noWrap w:val="0"/>
            <w:textDirection w:val="tbRlV"/>
            <w:vAlign w:val="center"/>
          </w:tcPr>
          <w:p w14:paraId="042F5FCB">
            <w:pPr>
              <w:spacing w:line="300" w:lineRule="exact"/>
              <w:ind w:left="113" w:right="113"/>
              <w:jc w:val="center"/>
              <w:rPr>
                <w:rFonts w:ascii="宋体" w:hAnsi="宋体" w:cs="宋体"/>
                <w:b/>
                <w:bCs/>
                <w:color w:val="auto"/>
                <w:szCs w:val="21"/>
              </w:rPr>
            </w:pPr>
          </w:p>
        </w:tc>
        <w:tc>
          <w:tcPr>
            <w:tcW w:w="6525" w:type="dxa"/>
            <w:gridSpan w:val="6"/>
            <w:noWrap w:val="0"/>
            <w:vAlign w:val="center"/>
          </w:tcPr>
          <w:p w14:paraId="60602834">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15.建立保藏种质资源活力检测制度，并及时提纯复壮。</w:t>
            </w:r>
          </w:p>
        </w:tc>
        <w:tc>
          <w:tcPr>
            <w:tcW w:w="541" w:type="dxa"/>
            <w:noWrap w:val="0"/>
            <w:vAlign w:val="center"/>
          </w:tcPr>
          <w:p w14:paraId="25FC6861">
            <w:pPr>
              <w:spacing w:line="300" w:lineRule="exact"/>
              <w:jc w:val="center"/>
              <w:rPr>
                <w:rFonts w:ascii="宋体" w:hAnsi="宋体" w:cs="宋体"/>
                <w:color w:val="auto"/>
                <w:szCs w:val="21"/>
              </w:rPr>
            </w:pPr>
            <w:r>
              <w:rPr>
                <w:rFonts w:hint="eastAsia" w:ascii="宋体" w:hAnsi="宋体" w:cs="宋体"/>
                <w:color w:val="auto"/>
                <w:szCs w:val="21"/>
              </w:rPr>
              <w:t>3</w:t>
            </w:r>
          </w:p>
        </w:tc>
        <w:tc>
          <w:tcPr>
            <w:tcW w:w="705" w:type="dxa"/>
            <w:noWrap w:val="0"/>
            <w:vAlign w:val="top"/>
          </w:tcPr>
          <w:p w14:paraId="5FCDBF7E">
            <w:pPr>
              <w:spacing w:line="300" w:lineRule="exact"/>
              <w:jc w:val="center"/>
              <w:rPr>
                <w:rFonts w:ascii="宋体" w:hAnsi="宋体" w:cs="宋体"/>
                <w:color w:val="auto"/>
                <w:sz w:val="30"/>
                <w:szCs w:val="30"/>
              </w:rPr>
            </w:pPr>
          </w:p>
        </w:tc>
      </w:tr>
      <w:tr w14:paraId="497EC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jc w:val="center"/>
        </w:trPr>
        <w:tc>
          <w:tcPr>
            <w:tcW w:w="660" w:type="dxa"/>
            <w:vMerge w:val="continue"/>
            <w:noWrap w:val="0"/>
            <w:textDirection w:val="tbRlV"/>
            <w:vAlign w:val="center"/>
          </w:tcPr>
          <w:p w14:paraId="70DBB070">
            <w:pPr>
              <w:spacing w:line="300" w:lineRule="exact"/>
              <w:ind w:left="113" w:right="113"/>
              <w:jc w:val="center"/>
              <w:rPr>
                <w:rFonts w:ascii="宋体" w:hAnsi="宋体" w:cs="宋体"/>
                <w:b/>
                <w:bCs/>
                <w:color w:val="auto"/>
                <w:szCs w:val="21"/>
              </w:rPr>
            </w:pPr>
          </w:p>
        </w:tc>
        <w:tc>
          <w:tcPr>
            <w:tcW w:w="6525" w:type="dxa"/>
            <w:gridSpan w:val="6"/>
            <w:noWrap w:val="0"/>
            <w:vAlign w:val="center"/>
          </w:tcPr>
          <w:p w14:paraId="4B2E86F7">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16.建立岗位责任制、档案管理制度、培训考核制度等。</w:t>
            </w:r>
          </w:p>
        </w:tc>
        <w:tc>
          <w:tcPr>
            <w:tcW w:w="541" w:type="dxa"/>
            <w:noWrap w:val="0"/>
            <w:vAlign w:val="center"/>
          </w:tcPr>
          <w:p w14:paraId="0CDB399D">
            <w:pPr>
              <w:spacing w:line="300" w:lineRule="exact"/>
              <w:jc w:val="center"/>
              <w:rPr>
                <w:rFonts w:ascii="宋体" w:hAnsi="宋体" w:cs="宋体"/>
                <w:color w:val="auto"/>
                <w:szCs w:val="21"/>
              </w:rPr>
            </w:pPr>
            <w:r>
              <w:rPr>
                <w:rFonts w:hint="eastAsia" w:ascii="宋体" w:hAnsi="宋体" w:cs="宋体"/>
                <w:color w:val="auto"/>
                <w:szCs w:val="21"/>
              </w:rPr>
              <w:t>3</w:t>
            </w:r>
          </w:p>
        </w:tc>
        <w:tc>
          <w:tcPr>
            <w:tcW w:w="705" w:type="dxa"/>
            <w:noWrap w:val="0"/>
            <w:vAlign w:val="top"/>
          </w:tcPr>
          <w:p w14:paraId="53627322">
            <w:pPr>
              <w:spacing w:line="300" w:lineRule="exact"/>
              <w:jc w:val="center"/>
              <w:rPr>
                <w:rFonts w:ascii="宋体" w:hAnsi="宋体" w:cs="宋体"/>
                <w:color w:val="auto"/>
                <w:sz w:val="30"/>
                <w:szCs w:val="30"/>
              </w:rPr>
            </w:pPr>
          </w:p>
        </w:tc>
      </w:tr>
      <w:tr w14:paraId="58584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362FFE6E">
            <w:pPr>
              <w:spacing w:line="300" w:lineRule="exact"/>
              <w:ind w:left="113" w:right="113"/>
              <w:jc w:val="center"/>
              <w:rPr>
                <w:rFonts w:ascii="宋体" w:hAnsi="宋体" w:cs="宋体"/>
                <w:color w:val="auto"/>
                <w:szCs w:val="21"/>
              </w:rPr>
            </w:pPr>
          </w:p>
        </w:tc>
        <w:tc>
          <w:tcPr>
            <w:tcW w:w="6525" w:type="dxa"/>
            <w:gridSpan w:val="6"/>
            <w:noWrap w:val="0"/>
            <w:vAlign w:val="center"/>
          </w:tcPr>
          <w:p w14:paraId="2CE02551">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17.无连续两次不提交年度工作报告的行为，且年度工作报告提交及时，内容符合要求。无遇重大事项未及时上报的行为。（仅适用于复查，如是初次申请，此项满分）。</w:t>
            </w:r>
          </w:p>
        </w:tc>
        <w:tc>
          <w:tcPr>
            <w:tcW w:w="541" w:type="dxa"/>
            <w:noWrap w:val="0"/>
            <w:vAlign w:val="center"/>
          </w:tcPr>
          <w:p w14:paraId="079EA184">
            <w:pPr>
              <w:spacing w:line="300" w:lineRule="exact"/>
              <w:jc w:val="center"/>
              <w:rPr>
                <w:rFonts w:ascii="宋体" w:hAnsi="宋体" w:cs="宋体"/>
                <w:color w:val="auto"/>
                <w:szCs w:val="21"/>
              </w:rPr>
            </w:pPr>
            <w:r>
              <w:rPr>
                <w:rFonts w:ascii="宋体" w:hAnsi="宋体" w:cs="宋体"/>
                <w:color w:val="auto"/>
                <w:szCs w:val="21"/>
              </w:rPr>
              <w:t>3</w:t>
            </w:r>
          </w:p>
        </w:tc>
        <w:tc>
          <w:tcPr>
            <w:tcW w:w="705" w:type="dxa"/>
            <w:noWrap w:val="0"/>
            <w:vAlign w:val="top"/>
          </w:tcPr>
          <w:p w14:paraId="1F3F9A46">
            <w:pPr>
              <w:spacing w:line="300" w:lineRule="exact"/>
              <w:jc w:val="center"/>
              <w:rPr>
                <w:rFonts w:ascii="宋体" w:hAnsi="宋体" w:cs="宋体"/>
                <w:color w:val="auto"/>
                <w:sz w:val="30"/>
                <w:szCs w:val="30"/>
              </w:rPr>
            </w:pPr>
          </w:p>
        </w:tc>
      </w:tr>
      <w:tr w14:paraId="517AF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3B74A7F2">
            <w:pPr>
              <w:spacing w:line="300" w:lineRule="exact"/>
              <w:ind w:left="113" w:right="113"/>
              <w:jc w:val="center"/>
              <w:rPr>
                <w:rFonts w:ascii="宋体" w:hAnsi="宋体" w:cs="宋体"/>
                <w:b/>
                <w:bCs/>
                <w:color w:val="auto"/>
                <w:szCs w:val="21"/>
              </w:rPr>
            </w:pPr>
          </w:p>
        </w:tc>
        <w:tc>
          <w:tcPr>
            <w:tcW w:w="6525" w:type="dxa"/>
            <w:gridSpan w:val="6"/>
            <w:noWrap w:val="0"/>
            <w:vAlign w:val="center"/>
          </w:tcPr>
          <w:p w14:paraId="40DF6CC2">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18.无不提交有关表型、基因型、环境型相关信息（不含涉及商业秘密）的行为。</w:t>
            </w:r>
          </w:p>
        </w:tc>
        <w:tc>
          <w:tcPr>
            <w:tcW w:w="541" w:type="dxa"/>
            <w:noWrap w:val="0"/>
            <w:vAlign w:val="center"/>
          </w:tcPr>
          <w:p w14:paraId="4592B203">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03263A92">
            <w:pPr>
              <w:spacing w:line="300" w:lineRule="exact"/>
              <w:jc w:val="center"/>
              <w:rPr>
                <w:rFonts w:ascii="宋体" w:hAnsi="宋体" w:cs="宋体"/>
                <w:color w:val="auto"/>
                <w:sz w:val="30"/>
                <w:szCs w:val="30"/>
              </w:rPr>
            </w:pPr>
          </w:p>
        </w:tc>
      </w:tr>
      <w:tr w14:paraId="775C5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4BE988DD">
            <w:pPr>
              <w:spacing w:line="300" w:lineRule="exact"/>
              <w:ind w:left="113" w:right="113"/>
              <w:jc w:val="center"/>
              <w:rPr>
                <w:rFonts w:ascii="宋体" w:hAnsi="宋体" w:cs="宋体"/>
                <w:b/>
                <w:bCs/>
                <w:color w:val="auto"/>
                <w:szCs w:val="21"/>
              </w:rPr>
            </w:pPr>
          </w:p>
        </w:tc>
        <w:tc>
          <w:tcPr>
            <w:tcW w:w="6525" w:type="dxa"/>
            <w:gridSpan w:val="6"/>
            <w:noWrap w:val="0"/>
            <w:vAlign w:val="center"/>
          </w:tcPr>
          <w:p w14:paraId="5B4A825D">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19.至迟于有效期截止或暂缓复查期结束日前3个月提出复查申请。（仅适用于复查，如是初次申请，此项满分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noWrap w:val="0"/>
            <w:vAlign w:val="center"/>
          </w:tcPr>
          <w:p w14:paraId="7CB56C0E">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0D86C797">
            <w:pPr>
              <w:spacing w:line="300" w:lineRule="exact"/>
              <w:jc w:val="center"/>
              <w:rPr>
                <w:rFonts w:ascii="宋体" w:hAnsi="宋体" w:cs="宋体"/>
                <w:color w:val="auto"/>
                <w:sz w:val="30"/>
                <w:szCs w:val="30"/>
              </w:rPr>
            </w:pPr>
          </w:p>
        </w:tc>
      </w:tr>
      <w:tr w14:paraId="771B6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326A3179">
            <w:pPr>
              <w:spacing w:line="300" w:lineRule="exact"/>
              <w:ind w:left="113" w:right="113"/>
              <w:jc w:val="center"/>
              <w:rPr>
                <w:rFonts w:ascii="宋体" w:hAnsi="宋体" w:cs="宋体"/>
                <w:b/>
                <w:bCs/>
                <w:color w:val="auto"/>
                <w:szCs w:val="21"/>
              </w:rPr>
            </w:pPr>
          </w:p>
        </w:tc>
        <w:tc>
          <w:tcPr>
            <w:tcW w:w="6525" w:type="dxa"/>
            <w:gridSpan w:val="6"/>
            <w:noWrap w:val="0"/>
            <w:vAlign w:val="center"/>
          </w:tcPr>
          <w:p w14:paraId="271BF1EE">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20.企业通过ISO或HACCP等标准化认证或为AA级以上信誉企业。事业单位获得优秀文明单位称号等。</w:t>
            </w:r>
          </w:p>
        </w:tc>
        <w:tc>
          <w:tcPr>
            <w:tcW w:w="541" w:type="dxa"/>
            <w:noWrap w:val="0"/>
            <w:vAlign w:val="center"/>
          </w:tcPr>
          <w:p w14:paraId="4FE56783">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1DB89388">
            <w:pPr>
              <w:spacing w:line="300" w:lineRule="exact"/>
              <w:jc w:val="center"/>
              <w:rPr>
                <w:rFonts w:ascii="宋体" w:hAnsi="宋体" w:cs="宋体"/>
                <w:color w:val="auto"/>
                <w:sz w:val="30"/>
                <w:szCs w:val="30"/>
              </w:rPr>
            </w:pPr>
          </w:p>
        </w:tc>
      </w:tr>
      <w:tr w14:paraId="2089A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1BB68E37">
            <w:pPr>
              <w:spacing w:line="300" w:lineRule="exact"/>
              <w:ind w:left="113" w:right="113"/>
              <w:jc w:val="center"/>
              <w:rPr>
                <w:rFonts w:ascii="宋体" w:hAnsi="宋体" w:cs="宋体"/>
                <w:b/>
                <w:bCs/>
                <w:color w:val="auto"/>
                <w:szCs w:val="21"/>
              </w:rPr>
            </w:pPr>
          </w:p>
        </w:tc>
        <w:tc>
          <w:tcPr>
            <w:tcW w:w="6525" w:type="dxa"/>
            <w:gridSpan w:val="6"/>
            <w:noWrap w:val="0"/>
            <w:vAlign w:val="center"/>
          </w:tcPr>
          <w:p w14:paraId="6FA760F1">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21.近3年未发生重大安全生产事故。</w:t>
            </w:r>
          </w:p>
        </w:tc>
        <w:tc>
          <w:tcPr>
            <w:tcW w:w="541" w:type="dxa"/>
            <w:noWrap w:val="0"/>
            <w:vAlign w:val="center"/>
          </w:tcPr>
          <w:p w14:paraId="70F927EE">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7DB36B0A">
            <w:pPr>
              <w:spacing w:line="300" w:lineRule="exact"/>
              <w:jc w:val="center"/>
              <w:rPr>
                <w:rFonts w:ascii="宋体" w:hAnsi="宋体" w:cs="宋体"/>
                <w:color w:val="auto"/>
                <w:sz w:val="30"/>
                <w:szCs w:val="30"/>
              </w:rPr>
            </w:pPr>
          </w:p>
        </w:tc>
      </w:tr>
      <w:tr w14:paraId="4A486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7"/>
            <w:noWrap w:val="0"/>
            <w:vAlign w:val="top"/>
          </w:tcPr>
          <w:p w14:paraId="70FF8EBF">
            <w:pPr>
              <w:spacing w:line="300" w:lineRule="exact"/>
              <w:jc w:val="center"/>
              <w:rPr>
                <w:rFonts w:ascii="宋体" w:hAnsi="宋体" w:cs="宋体"/>
                <w:color w:val="auto"/>
                <w:szCs w:val="21"/>
              </w:rPr>
            </w:pPr>
            <w:r>
              <w:rPr>
                <w:rFonts w:hint="eastAsia" w:ascii="宋体" w:hAnsi="宋体" w:cs="宋体"/>
                <w:color w:val="auto"/>
                <w:szCs w:val="21"/>
              </w:rPr>
              <w:t>合　计</w:t>
            </w:r>
          </w:p>
        </w:tc>
        <w:tc>
          <w:tcPr>
            <w:tcW w:w="541" w:type="dxa"/>
            <w:noWrap w:val="0"/>
            <w:vAlign w:val="center"/>
          </w:tcPr>
          <w:p w14:paraId="2F0930FC">
            <w:pPr>
              <w:spacing w:line="300" w:lineRule="exact"/>
              <w:jc w:val="center"/>
              <w:rPr>
                <w:rFonts w:ascii="宋体" w:hAnsi="宋体" w:cs="宋体"/>
                <w:color w:val="auto"/>
                <w:szCs w:val="21"/>
              </w:rPr>
            </w:pPr>
            <w:r>
              <w:rPr>
                <w:rFonts w:hint="eastAsia" w:ascii="宋体" w:hAnsi="宋体" w:cs="宋体"/>
                <w:color w:val="auto"/>
                <w:szCs w:val="21"/>
              </w:rPr>
              <w:t>100</w:t>
            </w:r>
          </w:p>
        </w:tc>
        <w:tc>
          <w:tcPr>
            <w:tcW w:w="705" w:type="dxa"/>
            <w:noWrap w:val="0"/>
            <w:vAlign w:val="top"/>
          </w:tcPr>
          <w:p w14:paraId="05246B98">
            <w:pPr>
              <w:spacing w:line="300" w:lineRule="exact"/>
              <w:jc w:val="center"/>
              <w:rPr>
                <w:rFonts w:ascii="宋体" w:hAnsi="宋体" w:cs="宋体"/>
                <w:color w:val="auto"/>
                <w:sz w:val="30"/>
                <w:szCs w:val="30"/>
              </w:rPr>
            </w:pPr>
          </w:p>
        </w:tc>
      </w:tr>
    </w:tbl>
    <w:p w14:paraId="079F0E1B">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6DC76524">
      <w:pPr>
        <w:rPr>
          <w:color w:val="auto"/>
        </w:rPr>
      </w:pPr>
    </w:p>
    <w:p w14:paraId="0FDEF920"/>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6DDF"/>
    <w:rsid w:val="44770EE3"/>
    <w:rsid w:val="54DB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next w:val="1"/>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2026-01-13T08:57:00Z</dcterms:created>
  <dc:creator>李敏</dc:creator>
  <cp:lastModifiedBy>李敏</cp:lastModifiedBy>
  <dcterms:modified xsi:type="dcterms:W3CDTF">2026-01-13T08:58:11Z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7278B31D29BA44839C3D1C45BCB66287_11</vt:lpwstr>
  </property>
  <property fmtid="{D5CDD505-2E9C-101B-9397-08002B2CF9AE}" pid="4" name="KSOTemplateDocerSaveRecord">
    <vt:lpwstr>eyJoZGlkIjoiMmUyYmI0NzFiOTllNTNhYjQzN2RiNmRkODVlNjNiM2QiLCJ1c2VySWQiOiIxMDYwMDc1MTc4In0=</vt:lpwstr>
  </property>
</Properties>
</file>