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3BDE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280A46F6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  <w:t>4</w:t>
      </w:r>
    </w:p>
    <w:p w14:paraId="3E9A822A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5758ADC6">
      <w:pPr>
        <w:autoSpaceDE w:val="0"/>
        <w:autoSpaceDN w:val="0"/>
        <w:adjustRightIn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北京市市级农作物种质资源试管苗</w:t>
      </w:r>
      <w:r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库</w:t>
      </w: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考评表</w:t>
      </w:r>
    </w:p>
    <w:tbl>
      <w:tblPr>
        <w:tblStyle w:val="3"/>
        <w:tblpPr w:leftFromText="180" w:rightFromText="180" w:vertAnchor="text" w:tblpX="-289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6"/>
        <w:gridCol w:w="2462"/>
        <w:gridCol w:w="1223"/>
        <w:gridCol w:w="1481"/>
        <w:gridCol w:w="1206"/>
        <w:gridCol w:w="441"/>
        <w:gridCol w:w="699"/>
        <w:gridCol w:w="636"/>
        <w:gridCol w:w="9"/>
      </w:tblGrid>
      <w:tr w14:paraId="0994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702" w:type="dxa"/>
            <w:gridSpan w:val="2"/>
            <w:noWrap w:val="0"/>
            <w:vAlign w:val="center"/>
          </w:tcPr>
          <w:p w14:paraId="3A31FDEF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462" w:type="dxa"/>
            <w:noWrap w:val="0"/>
            <w:vAlign w:val="center"/>
          </w:tcPr>
          <w:p w14:paraId="79A7EE55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6D1AB9D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481" w:type="dxa"/>
            <w:noWrap w:val="0"/>
            <w:vAlign w:val="center"/>
          </w:tcPr>
          <w:p w14:paraId="45C45EEC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FB22AEE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24FF0F38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</w:tr>
      <w:tr w14:paraId="6190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9" w:type="dxa"/>
            <w:gridSpan w:val="10"/>
            <w:noWrap w:val="0"/>
            <w:vAlign w:val="center"/>
          </w:tcPr>
          <w:p w14:paraId="106E355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一票否决6项（合格划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370C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vMerge w:val="restart"/>
            <w:noWrap w:val="0"/>
            <w:vAlign w:val="center"/>
          </w:tcPr>
          <w:p w14:paraId="4FF6C7D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66BC6D7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372BF08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64EE5B0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4332D60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73440ED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5734FA9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8368" w:type="dxa"/>
            <w:gridSpan w:val="7"/>
            <w:noWrap w:val="0"/>
            <w:vAlign w:val="center"/>
          </w:tcPr>
          <w:p w14:paraId="37C3843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1.库址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：地势干燥，通风良好，水源充足，供电稳定，非自然灾害频发地。</w:t>
            </w:r>
          </w:p>
        </w:tc>
        <w:tc>
          <w:tcPr>
            <w:tcW w:w="645" w:type="dxa"/>
            <w:gridSpan w:val="2"/>
            <w:noWrap w:val="0"/>
            <w:vAlign w:val="top"/>
          </w:tcPr>
          <w:p w14:paraId="15016CE6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7A115459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CFF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noWrap w:val="0"/>
            <w:vAlign w:val="top"/>
          </w:tcPr>
          <w:p w14:paraId="0C48AF9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59C4658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2.土地使用手续：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有自有土地证或者具备土地使用权15年以上。</w:t>
            </w:r>
          </w:p>
        </w:tc>
        <w:tc>
          <w:tcPr>
            <w:tcW w:w="645" w:type="dxa"/>
            <w:gridSpan w:val="2"/>
            <w:noWrap w:val="0"/>
            <w:vAlign w:val="top"/>
          </w:tcPr>
          <w:p w14:paraId="7B296B0A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122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noWrap w:val="0"/>
            <w:vAlign w:val="top"/>
          </w:tcPr>
          <w:p w14:paraId="338486D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4CCA1A67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3.容量与规模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：具备保存试管苗的设施，保存能力≧3000份，种质资源保有量≧1000份。</w:t>
            </w:r>
          </w:p>
        </w:tc>
        <w:tc>
          <w:tcPr>
            <w:tcW w:w="645" w:type="dxa"/>
            <w:gridSpan w:val="2"/>
            <w:noWrap w:val="0"/>
            <w:vAlign w:val="top"/>
          </w:tcPr>
          <w:p w14:paraId="3901153A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92F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46" w:type="dxa"/>
            <w:vMerge w:val="continue"/>
            <w:noWrap w:val="0"/>
            <w:vAlign w:val="top"/>
          </w:tcPr>
          <w:p w14:paraId="2D9874D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1B2BB21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4.基本实施要求：</w:t>
            </w:r>
          </w:p>
          <w:p w14:paraId="2AE2A3C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参照《农作物种质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资源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试管苗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超低温库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设计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与建设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规范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》建设，确保保存室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、培养室、无菌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室、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配剂室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洗涤及灭菌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室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等温度、湿度、光照时间及强度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要求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，保持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种质资源生活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且维持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种质遗传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完整性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645" w:type="dxa"/>
            <w:gridSpan w:val="2"/>
            <w:noWrap w:val="0"/>
            <w:vAlign w:val="top"/>
          </w:tcPr>
          <w:p w14:paraId="1FA037C1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C6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noWrap w:val="0"/>
            <w:vAlign w:val="top"/>
          </w:tcPr>
          <w:p w14:paraId="7C54CBC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152FD90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5.供电系统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：具有双温双待系统，保证系统不间断工作。</w:t>
            </w:r>
          </w:p>
        </w:tc>
        <w:tc>
          <w:tcPr>
            <w:tcW w:w="645" w:type="dxa"/>
            <w:gridSpan w:val="2"/>
            <w:noWrap w:val="0"/>
            <w:vAlign w:val="top"/>
          </w:tcPr>
          <w:p w14:paraId="1483FEF4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3A2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Merge w:val="continue"/>
            <w:noWrap w:val="0"/>
            <w:vAlign w:val="top"/>
          </w:tcPr>
          <w:p w14:paraId="3E1A285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1225C24F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6.安保系统：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建筑周围按国家民用建筑要求，配有消防、监控、报警装置。</w:t>
            </w:r>
          </w:p>
        </w:tc>
        <w:tc>
          <w:tcPr>
            <w:tcW w:w="645" w:type="dxa"/>
            <w:gridSpan w:val="2"/>
            <w:noWrap w:val="0"/>
            <w:vAlign w:val="top"/>
          </w:tcPr>
          <w:p w14:paraId="3DDA003D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3A8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5" w:hRule="atLeast"/>
        </w:trPr>
        <w:tc>
          <w:tcPr>
            <w:tcW w:w="9850" w:type="dxa"/>
            <w:gridSpan w:val="9"/>
            <w:noWrap w:val="0"/>
            <w:vAlign w:val="center"/>
          </w:tcPr>
          <w:p w14:paraId="17BD5D3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如无一票否决项请填写以下评分项（共9项）</w:t>
            </w:r>
          </w:p>
        </w:tc>
      </w:tr>
      <w:tr w14:paraId="3E96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</w:trPr>
        <w:tc>
          <w:tcPr>
            <w:tcW w:w="846" w:type="dxa"/>
            <w:noWrap w:val="0"/>
            <w:vAlign w:val="center"/>
          </w:tcPr>
          <w:p w14:paraId="38CD7C3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考评</w:t>
            </w:r>
          </w:p>
          <w:p w14:paraId="61793B9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590585F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699" w:type="dxa"/>
            <w:noWrap w:val="0"/>
            <w:vAlign w:val="center"/>
          </w:tcPr>
          <w:p w14:paraId="2992FE5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636" w:type="dxa"/>
            <w:noWrap w:val="0"/>
            <w:vAlign w:val="center"/>
          </w:tcPr>
          <w:p w14:paraId="4B10CFB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得分</w:t>
            </w:r>
          </w:p>
        </w:tc>
      </w:tr>
      <w:tr w14:paraId="231E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0" w:hRule="atLeast"/>
        </w:trPr>
        <w:tc>
          <w:tcPr>
            <w:tcW w:w="846" w:type="dxa"/>
            <w:vMerge w:val="restart"/>
            <w:noWrap w:val="0"/>
            <w:vAlign w:val="center"/>
          </w:tcPr>
          <w:p w14:paraId="0461FB7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</w:t>
            </w:r>
          </w:p>
          <w:p w14:paraId="50CDC9E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力量</w:t>
            </w:r>
          </w:p>
          <w:p w14:paraId="084CFB1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565F519B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7.有从事种质资源保护工作的专职技术人员，中、高级专业技术人员比例不低于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%。</w:t>
            </w:r>
          </w:p>
        </w:tc>
        <w:tc>
          <w:tcPr>
            <w:tcW w:w="699" w:type="dxa"/>
            <w:noWrap w:val="0"/>
            <w:vAlign w:val="center"/>
          </w:tcPr>
          <w:p w14:paraId="0306A59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36" w:type="dxa"/>
            <w:noWrap w:val="0"/>
            <w:vAlign w:val="center"/>
          </w:tcPr>
          <w:p w14:paraId="5A7D367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BF7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5" w:hRule="atLeast"/>
        </w:trPr>
        <w:tc>
          <w:tcPr>
            <w:tcW w:w="846" w:type="dxa"/>
            <w:vMerge w:val="continue"/>
            <w:noWrap w:val="0"/>
            <w:vAlign w:val="top"/>
          </w:tcPr>
          <w:p w14:paraId="3CA2189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06B84210">
            <w:pPr>
              <w:tabs>
                <w:tab w:val="left" w:pos="0"/>
              </w:tabs>
              <w:autoSpaceDE w:val="0"/>
              <w:autoSpaceDN w:val="0"/>
              <w:spacing w:line="260" w:lineRule="exact"/>
              <w:ind w:left="15" w:hanging="14" w:hangingChars="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8.从事种质资源保护的技术人员需取得农学、园艺等相关专业专科以上学历，经过专业技术培训。</w:t>
            </w:r>
          </w:p>
        </w:tc>
        <w:tc>
          <w:tcPr>
            <w:tcW w:w="699" w:type="dxa"/>
            <w:noWrap w:val="0"/>
            <w:vAlign w:val="center"/>
          </w:tcPr>
          <w:p w14:paraId="106DA7C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36" w:type="dxa"/>
            <w:noWrap w:val="0"/>
            <w:vAlign w:val="center"/>
          </w:tcPr>
          <w:p w14:paraId="4BDF35D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CD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9" w:hRule="atLeast"/>
        </w:trPr>
        <w:tc>
          <w:tcPr>
            <w:tcW w:w="846" w:type="dxa"/>
            <w:vMerge w:val="continue"/>
            <w:noWrap w:val="0"/>
            <w:vAlign w:val="top"/>
          </w:tcPr>
          <w:p w14:paraId="4B2FB0A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2B633D20">
            <w:pPr>
              <w:autoSpaceDE w:val="0"/>
              <w:autoSpaceDN w:val="0"/>
              <w:spacing w:line="260" w:lineRule="exact"/>
              <w:ind w:left="315" w:hanging="315" w:hanging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9.人员配备合理，职责明确，相对稳定。</w:t>
            </w:r>
          </w:p>
        </w:tc>
        <w:tc>
          <w:tcPr>
            <w:tcW w:w="699" w:type="dxa"/>
            <w:noWrap w:val="0"/>
            <w:vAlign w:val="center"/>
          </w:tcPr>
          <w:p w14:paraId="7BC1695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noWrap w:val="0"/>
            <w:vAlign w:val="center"/>
          </w:tcPr>
          <w:p w14:paraId="5FF2EE0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08B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6" w:hRule="atLeast"/>
        </w:trPr>
        <w:tc>
          <w:tcPr>
            <w:tcW w:w="846" w:type="dxa"/>
            <w:vMerge w:val="restart"/>
            <w:noWrap w:val="0"/>
            <w:vAlign w:val="center"/>
          </w:tcPr>
          <w:p w14:paraId="1978A0F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布局</w:t>
            </w:r>
          </w:p>
          <w:p w14:paraId="376D1C9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设施</w:t>
            </w:r>
          </w:p>
          <w:p w14:paraId="3256A0C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03017CB2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10.有达到上述条件的资源库及其配套的临时库、精选室、干燥包装室、质量检测室、档案室等。</w:t>
            </w:r>
          </w:p>
        </w:tc>
        <w:tc>
          <w:tcPr>
            <w:tcW w:w="699" w:type="dxa"/>
            <w:noWrap w:val="0"/>
            <w:vAlign w:val="center"/>
          </w:tcPr>
          <w:p w14:paraId="592F7D0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noWrap w:val="0"/>
            <w:vAlign w:val="center"/>
          </w:tcPr>
          <w:p w14:paraId="12918B2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095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846" w:type="dxa"/>
            <w:vMerge w:val="continue"/>
            <w:noWrap w:val="0"/>
            <w:vAlign w:val="top"/>
          </w:tcPr>
          <w:p w14:paraId="7474D7B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7551D522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11.有开展农作物种质资源收集整理、鉴定评价、登记保存、共享利用相关工作的试验用地和实验室。</w:t>
            </w:r>
          </w:p>
        </w:tc>
        <w:tc>
          <w:tcPr>
            <w:tcW w:w="699" w:type="dxa"/>
            <w:noWrap w:val="0"/>
            <w:vAlign w:val="center"/>
          </w:tcPr>
          <w:p w14:paraId="205DBEE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noWrap w:val="0"/>
            <w:vAlign w:val="center"/>
          </w:tcPr>
          <w:p w14:paraId="072F086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8D9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0" w:hRule="atLeast"/>
        </w:trPr>
        <w:tc>
          <w:tcPr>
            <w:tcW w:w="846" w:type="dxa"/>
            <w:vMerge w:val="continue"/>
            <w:noWrap w:val="0"/>
            <w:vAlign w:val="top"/>
          </w:tcPr>
          <w:p w14:paraId="2A849FA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3000CD5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12.具备防火、防盗、防震等安全设施；水源、电源供应充足。</w:t>
            </w:r>
          </w:p>
        </w:tc>
        <w:tc>
          <w:tcPr>
            <w:tcW w:w="699" w:type="dxa"/>
            <w:noWrap w:val="0"/>
            <w:vAlign w:val="center"/>
          </w:tcPr>
          <w:p w14:paraId="43BCEF7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noWrap w:val="0"/>
            <w:vAlign w:val="center"/>
          </w:tcPr>
          <w:p w14:paraId="32A851DD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F2A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9" w:hRule="atLeast"/>
        </w:trPr>
        <w:tc>
          <w:tcPr>
            <w:tcW w:w="846" w:type="dxa"/>
            <w:vMerge w:val="restart"/>
            <w:noWrap w:val="0"/>
            <w:vAlign w:val="center"/>
          </w:tcPr>
          <w:p w14:paraId="74B3D66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档案</w:t>
            </w:r>
          </w:p>
          <w:p w14:paraId="3AA4FBF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资料</w:t>
            </w:r>
          </w:p>
          <w:p w14:paraId="354AF52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1FC82C2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13.有相应的质量控制、种质资源出入库、数据档案、安全运行、重大突发性事件应急预案等制度。</w:t>
            </w:r>
          </w:p>
        </w:tc>
        <w:tc>
          <w:tcPr>
            <w:tcW w:w="699" w:type="dxa"/>
            <w:noWrap w:val="0"/>
            <w:vAlign w:val="center"/>
          </w:tcPr>
          <w:p w14:paraId="07D8995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noWrap w:val="0"/>
            <w:vAlign w:val="center"/>
          </w:tcPr>
          <w:p w14:paraId="3DA4D27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E40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0" w:hRule="atLeast"/>
        </w:trPr>
        <w:tc>
          <w:tcPr>
            <w:tcW w:w="846" w:type="dxa"/>
            <w:vMerge w:val="continue"/>
            <w:noWrap w:val="0"/>
            <w:vAlign w:val="top"/>
          </w:tcPr>
          <w:p w14:paraId="57B8862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2516C92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Cs w:val="21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有收集整理、鉴定评价、登记保存、共享利用等操作规范或技术规程。</w:t>
            </w:r>
          </w:p>
        </w:tc>
        <w:tc>
          <w:tcPr>
            <w:tcW w:w="699" w:type="dxa"/>
            <w:noWrap w:val="0"/>
            <w:vAlign w:val="center"/>
          </w:tcPr>
          <w:p w14:paraId="080E756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noWrap w:val="0"/>
            <w:vAlign w:val="center"/>
          </w:tcPr>
          <w:p w14:paraId="0F9EA65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0E7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 w:hRule="atLeast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E92B8B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E1092E6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15.具有专人管理，能及时整理、分析、分类归档。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noWrap w:val="0"/>
            <w:vAlign w:val="center"/>
          </w:tcPr>
          <w:p w14:paraId="2C96997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61972A2E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954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0" w:hRule="atLeast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 w14:paraId="0BCC7F8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6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23630A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9" w:type="dxa"/>
            <w:tcBorders>
              <w:bottom w:val="single" w:color="auto" w:sz="4" w:space="0"/>
            </w:tcBorders>
            <w:noWrap w:val="0"/>
            <w:vAlign w:val="center"/>
          </w:tcPr>
          <w:p w14:paraId="00F1080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5B3F1D22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BA3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4" w:hRule="atLeast"/>
        </w:trPr>
        <w:tc>
          <w:tcPr>
            <w:tcW w:w="985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E87A4E3">
            <w:pPr>
              <w:ind w:left="643" w:hanging="643" w:hangingChars="32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说明：</w:t>
            </w:r>
            <w:r>
              <w:rPr>
                <w:rFonts w:hint="eastAsia"/>
                <w:color w:val="auto"/>
                <w:sz w:val="20"/>
              </w:rPr>
              <w:t>对各项指标进行打分，分数保留小数点后一位，单项内容最低分为0分。一般情况下，考核依据的数据以上年和本年度现有数据为准。</w:t>
            </w:r>
          </w:p>
        </w:tc>
      </w:tr>
    </w:tbl>
    <w:p w14:paraId="0528FC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66386"/>
    <w:rsid w:val="5B76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2026-01-13T08:36:00Z</dcterms:created>
  <dc:creator>李敏</dc:creator>
  <cp:lastModifiedBy>李敏</cp:lastModifiedBy>
  <dcterms:modified xsi:type="dcterms:W3CDTF">2026-01-13T08:36:14Z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83BF6D35910748CEBBFD34014C788809_11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