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F9773C">
      <w:pPr>
        <w:widowControl/>
        <w:adjustRightInd/>
        <w:snapToGrid/>
        <w:spacing w:after="0" w:line="560" w:lineRule="exact"/>
        <w:jc w:val="left"/>
        <w:rPr>
          <w:rFonts w:hint="eastAsia" w:ascii="黑体" w:hAnsi="黑体" w:eastAsia="黑体" w:cs="方正小标宋简体"/>
          <w:kern w:val="0"/>
          <w:sz w:val="32"/>
          <w:szCs w:val="32"/>
        </w:rPr>
      </w:pPr>
      <w:r>
        <w:rPr>
          <w:rFonts w:hint="eastAsia" w:ascii="黑体" w:hAnsi="黑体" w:eastAsia="黑体" w:cs="方正小标宋简体"/>
          <w:kern w:val="0"/>
          <w:sz w:val="32"/>
          <w:szCs w:val="32"/>
        </w:rPr>
        <w:t>附件</w:t>
      </w:r>
      <w:r>
        <w:rPr>
          <w:rFonts w:hint="eastAsia" w:ascii="黑体" w:hAnsi="黑体" w:eastAsia="黑体" w:cs="方正小标宋简体"/>
          <w:kern w:val="0"/>
          <w:sz w:val="32"/>
          <w:szCs w:val="32"/>
          <w:lang w:val="en-US" w:eastAsia="zh-CN"/>
        </w:rPr>
        <w:t>1</w:t>
      </w:r>
      <w:r>
        <w:rPr>
          <w:rFonts w:hint="eastAsia" w:ascii="黑体" w:hAnsi="黑体" w:eastAsia="黑体" w:cs="方正小标宋简体"/>
          <w:kern w:val="0"/>
          <w:sz w:val="32"/>
          <w:szCs w:val="32"/>
        </w:rPr>
        <w:t xml:space="preserve">  </w:t>
      </w:r>
    </w:p>
    <w:p w14:paraId="4BBFF92D">
      <w:pPr>
        <w:spacing w:after="0" w:line="560" w:lineRule="exact"/>
        <w:jc w:val="center"/>
        <w:rPr>
          <w:rFonts w:hint="eastAsia" w:ascii="方正小标宋简体" w:hAnsi="黑体" w:eastAsia="方正小标宋简体" w:cs="方正小标宋简体"/>
          <w:sz w:val="44"/>
          <w:szCs w:val="44"/>
        </w:rPr>
      </w:pPr>
    </w:p>
    <w:p w14:paraId="270CD783">
      <w:pPr>
        <w:spacing w:after="0" w:line="560" w:lineRule="exact"/>
        <w:jc w:val="center"/>
        <w:rPr>
          <w:rFonts w:hint="eastAsia" w:ascii="方正小标宋简体" w:hAnsi="黑体" w:eastAsia="方正小标宋简体" w:cs="方正小标宋简体"/>
          <w:sz w:val="44"/>
          <w:szCs w:val="44"/>
        </w:rPr>
      </w:pPr>
      <w:r>
        <w:rPr>
          <w:rFonts w:hint="eastAsia" w:ascii="方正小标宋简体" w:hAnsi="黑体" w:eastAsia="方正小标宋简体" w:cs="方正小标宋简体"/>
          <w:sz w:val="44"/>
          <w:szCs w:val="44"/>
        </w:rPr>
        <w:t>202</w:t>
      </w:r>
      <w:r>
        <w:rPr>
          <w:rFonts w:hint="eastAsia" w:ascii="方正小标宋简体" w:hAnsi="黑体" w:eastAsia="方正小标宋简体" w:cs="方正小标宋简体"/>
          <w:sz w:val="44"/>
          <w:szCs w:val="44"/>
          <w:lang w:val="en-US" w:eastAsia="zh-CN"/>
        </w:rPr>
        <w:t>6</w:t>
      </w:r>
      <w:r>
        <w:rPr>
          <w:rFonts w:hint="eastAsia" w:ascii="方正小标宋简体" w:hAnsi="黑体" w:eastAsia="方正小标宋简体" w:cs="方正小标宋简体"/>
          <w:sz w:val="44"/>
          <w:szCs w:val="44"/>
        </w:rPr>
        <w:t>年</w:t>
      </w:r>
      <w:r>
        <w:rPr>
          <w:rFonts w:hint="eastAsia" w:ascii="方正小标宋简体" w:hAnsi="黑体" w:eastAsia="方正小标宋简体" w:cs="方正小标宋简体"/>
          <w:sz w:val="44"/>
          <w:szCs w:val="44"/>
          <w:lang w:eastAsia="zh-CN"/>
        </w:rPr>
        <w:t>北京市企业出题类</w:t>
      </w:r>
      <w:r>
        <w:rPr>
          <w:rFonts w:hint="eastAsia" w:ascii="方正小标宋简体" w:hAnsi="黑体" w:eastAsia="方正小标宋简体" w:cs="方正小标宋简体"/>
          <w:sz w:val="44"/>
          <w:szCs w:val="44"/>
        </w:rPr>
        <w:t>“揭榜挂帅”榜单</w:t>
      </w:r>
    </w:p>
    <w:p w14:paraId="1886A87D">
      <w:pPr>
        <w:spacing w:after="0" w:line="560" w:lineRule="exact"/>
        <w:rPr>
          <w:rFonts w:hint="eastAsia" w:ascii="仿宋_GB2312" w:eastAsia="仿宋_GB2312" w:cs="仿宋" w:hAnsiTheme="minorEastAsia"/>
          <w:bCs/>
          <w:sz w:val="32"/>
          <w:szCs w:val="32"/>
        </w:rPr>
      </w:pPr>
    </w:p>
    <w:tbl>
      <w:tblPr>
        <w:tblStyle w:val="10"/>
        <w:tblW w:w="8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7135"/>
      </w:tblGrid>
      <w:tr w14:paraId="7B9C5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705" w:type="dxa"/>
            <w:vAlign w:val="center"/>
          </w:tcPr>
          <w:p w14:paraId="62FEC2AA">
            <w:pPr>
              <w:jc w:val="center"/>
              <w:rPr>
                <w:rFonts w:hint="eastAsia" w:ascii="黑体" w:hAnsi="黑体" w:eastAsia="黑体" w:cs="黑体"/>
                <w:sz w:val="24"/>
                <w:szCs w:val="24"/>
                <w:lang w:eastAsia="zh-CN"/>
              </w:rPr>
            </w:pPr>
            <w:r>
              <w:rPr>
                <w:rFonts w:hint="eastAsia" w:ascii="黑体" w:hAnsi="黑体" w:eastAsia="黑体" w:cs="黑体"/>
                <w:sz w:val="24"/>
                <w:szCs w:val="24"/>
              </w:rPr>
              <w:t>需求项目</w:t>
            </w:r>
            <w:r>
              <w:rPr>
                <w:rFonts w:hint="eastAsia" w:ascii="黑体" w:hAnsi="黑体" w:eastAsia="黑体" w:cs="黑体"/>
                <w:sz w:val="24"/>
                <w:szCs w:val="24"/>
                <w:lang w:eastAsia="zh-CN"/>
              </w:rPr>
              <w:t>（一）</w:t>
            </w:r>
          </w:p>
        </w:tc>
        <w:tc>
          <w:tcPr>
            <w:tcW w:w="7135" w:type="dxa"/>
            <w:vAlign w:val="center"/>
          </w:tcPr>
          <w:p w14:paraId="35E7A7B5">
            <w:pPr>
              <w:spacing w:line="360" w:lineRule="auto"/>
              <w:ind w:firstLine="480" w:firstLineChars="20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基于马立克氏病毒Ⅰ型载体构建预防H5亚型、H7亚型、</w:t>
            </w:r>
            <w:r>
              <w:rPr>
                <w:rFonts w:hint="eastAsia" w:asciiTheme="minorEastAsia" w:hAnsiTheme="minorEastAsia" w:eastAsiaTheme="minorEastAsia" w:cstheme="minorEastAsia"/>
                <w:sz w:val="24"/>
                <w:szCs w:val="24"/>
                <w:highlight w:val="none"/>
              </w:rPr>
              <w:t>H9亚型禽流感、鸡传染性法氏囊病的重组活疫苗的研制</w:t>
            </w:r>
          </w:p>
        </w:tc>
      </w:tr>
      <w:tr w14:paraId="5CAE9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705" w:type="dxa"/>
            <w:vAlign w:val="center"/>
          </w:tcPr>
          <w:p w14:paraId="36A0BE8B">
            <w:pPr>
              <w:jc w:val="center"/>
              <w:rPr>
                <w:rFonts w:hint="eastAsia" w:ascii="黑体" w:hAnsi="黑体" w:eastAsia="黑体" w:cs="黑体"/>
                <w:sz w:val="24"/>
                <w:szCs w:val="24"/>
              </w:rPr>
            </w:pPr>
            <w:r>
              <w:rPr>
                <w:rFonts w:hint="eastAsia" w:ascii="Times New Roman" w:hAnsi="Times New Roman" w:eastAsia="黑体"/>
                <w:sz w:val="24"/>
                <w:szCs w:val="24"/>
                <w:highlight w:val="none"/>
                <w:lang w:eastAsia="zh-CN"/>
              </w:rPr>
              <w:t>企业名称</w:t>
            </w:r>
          </w:p>
        </w:tc>
        <w:tc>
          <w:tcPr>
            <w:tcW w:w="7135" w:type="dxa"/>
            <w:vAlign w:val="center"/>
          </w:tcPr>
          <w:p w14:paraId="6EF6E00B">
            <w:pPr>
              <w:spacing w:line="360" w:lineRule="auto"/>
              <w:ind w:firstLine="480" w:firstLineChars="20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北京华夏兴洋生物科技有限公司</w:t>
            </w:r>
          </w:p>
        </w:tc>
      </w:tr>
      <w:tr w14:paraId="6A63D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705" w:type="dxa"/>
            <w:vAlign w:val="center"/>
          </w:tcPr>
          <w:p w14:paraId="1847C323">
            <w:pPr>
              <w:jc w:val="center"/>
              <w:rPr>
                <w:rFonts w:hint="eastAsia" w:ascii="黑体" w:hAnsi="黑体" w:eastAsia="黑体" w:cs="黑体"/>
                <w:sz w:val="24"/>
                <w:szCs w:val="24"/>
              </w:rPr>
            </w:pPr>
            <w:r>
              <w:rPr>
                <w:rFonts w:hint="eastAsia" w:ascii="黑体" w:hAnsi="黑体" w:eastAsia="黑体" w:cs="黑体"/>
                <w:sz w:val="24"/>
                <w:szCs w:val="24"/>
              </w:rPr>
              <w:t>联系人及</w:t>
            </w:r>
          </w:p>
          <w:p w14:paraId="19958531">
            <w:pPr>
              <w:jc w:val="center"/>
              <w:rPr>
                <w:rFonts w:ascii="黑体" w:hAnsi="黑体" w:eastAsia="黑体" w:cs="黑体"/>
                <w:sz w:val="24"/>
                <w:szCs w:val="24"/>
              </w:rPr>
            </w:pPr>
            <w:r>
              <w:rPr>
                <w:rFonts w:hint="eastAsia" w:ascii="黑体" w:hAnsi="黑体" w:eastAsia="黑体" w:cs="黑体"/>
                <w:sz w:val="24"/>
                <w:szCs w:val="24"/>
              </w:rPr>
              <w:t>联系电话</w:t>
            </w:r>
          </w:p>
        </w:tc>
        <w:tc>
          <w:tcPr>
            <w:tcW w:w="7135" w:type="dxa"/>
            <w:vAlign w:val="center"/>
          </w:tcPr>
          <w:p w14:paraId="3620DC68">
            <w:pPr>
              <w:spacing w:line="360" w:lineRule="auto"/>
              <w:ind w:firstLine="480" w:firstLineChars="20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马培倩  18911292817</w:t>
            </w:r>
          </w:p>
        </w:tc>
      </w:tr>
      <w:tr w14:paraId="4D64C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05" w:type="dxa"/>
            <w:vAlign w:val="center"/>
          </w:tcPr>
          <w:p w14:paraId="505B64DC">
            <w:pPr>
              <w:jc w:val="center"/>
              <w:rPr>
                <w:rFonts w:ascii="黑体" w:hAnsi="黑体" w:eastAsia="黑体" w:cs="黑体"/>
                <w:sz w:val="24"/>
                <w:szCs w:val="24"/>
              </w:rPr>
            </w:pPr>
            <w:r>
              <w:rPr>
                <w:rFonts w:hint="eastAsia" w:ascii="黑体" w:hAnsi="黑体" w:eastAsia="黑体" w:cs="黑体"/>
                <w:sz w:val="24"/>
                <w:szCs w:val="24"/>
              </w:rPr>
              <w:t>项目周期</w:t>
            </w:r>
          </w:p>
        </w:tc>
        <w:tc>
          <w:tcPr>
            <w:tcW w:w="7135" w:type="dxa"/>
            <w:vAlign w:val="center"/>
          </w:tcPr>
          <w:p w14:paraId="275F333A">
            <w:pPr>
              <w:spacing w:line="360" w:lineRule="auto"/>
              <w:ind w:firstLine="480" w:firstLineChars="200"/>
              <w:jc w:val="center"/>
              <w:rPr>
                <w:rFonts w:hint="eastAsia" w:asciiTheme="minorEastAsia" w:hAnsiTheme="minorEastAsia" w:eastAsiaTheme="minorEastAsia" w:cstheme="minorEastAsia"/>
                <w:sz w:val="24"/>
                <w:szCs w:val="24"/>
                <w:lang w:val="en"/>
              </w:rPr>
            </w:pPr>
            <w:r>
              <w:rPr>
                <w:rFonts w:hint="eastAsia" w:asciiTheme="minorEastAsia" w:hAnsiTheme="minorEastAsia" w:eastAsiaTheme="minorEastAsia" w:cstheme="minorEastAsia"/>
                <w:sz w:val="24"/>
                <w:szCs w:val="24"/>
                <w:highlight w:val="none"/>
              </w:rPr>
              <w:t>2年</w:t>
            </w:r>
          </w:p>
        </w:tc>
      </w:tr>
      <w:tr w14:paraId="12498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05" w:type="dxa"/>
            <w:vAlign w:val="center"/>
          </w:tcPr>
          <w:p w14:paraId="0D286EAB">
            <w:pPr>
              <w:jc w:val="center"/>
              <w:rPr>
                <w:rFonts w:ascii="黑体" w:hAnsi="黑体" w:eastAsia="黑体" w:cs="黑体"/>
                <w:sz w:val="24"/>
                <w:szCs w:val="24"/>
              </w:rPr>
            </w:pPr>
            <w:r>
              <w:rPr>
                <w:rFonts w:hint="eastAsia" w:ascii="黑体" w:hAnsi="黑体" w:eastAsia="黑体" w:cs="黑体"/>
                <w:sz w:val="24"/>
                <w:szCs w:val="24"/>
              </w:rPr>
              <w:t>企业出资金额</w:t>
            </w:r>
          </w:p>
        </w:tc>
        <w:tc>
          <w:tcPr>
            <w:tcW w:w="7135" w:type="dxa"/>
            <w:vAlign w:val="center"/>
          </w:tcPr>
          <w:p w14:paraId="03E2016A">
            <w:pPr>
              <w:spacing w:line="360" w:lineRule="auto"/>
              <w:ind w:firstLine="480" w:firstLineChars="20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240万</w:t>
            </w:r>
          </w:p>
        </w:tc>
      </w:tr>
      <w:tr w14:paraId="3A035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1" w:hRule="atLeast"/>
          <w:jc w:val="center"/>
        </w:trPr>
        <w:tc>
          <w:tcPr>
            <w:tcW w:w="1705" w:type="dxa"/>
            <w:vAlign w:val="center"/>
          </w:tcPr>
          <w:p w14:paraId="6DAA7761">
            <w:pPr>
              <w:jc w:val="center"/>
              <w:rPr>
                <w:rFonts w:ascii="黑体" w:hAnsi="黑体" w:eastAsia="黑体" w:cs="黑体"/>
                <w:sz w:val="24"/>
                <w:szCs w:val="24"/>
              </w:rPr>
            </w:pPr>
            <w:r>
              <w:rPr>
                <w:rFonts w:hint="eastAsia" w:ascii="黑体" w:hAnsi="黑体" w:eastAsia="黑体" w:cs="黑体"/>
                <w:sz w:val="24"/>
                <w:szCs w:val="24"/>
              </w:rPr>
              <w:t>需求背景</w:t>
            </w:r>
          </w:p>
        </w:tc>
        <w:tc>
          <w:tcPr>
            <w:tcW w:w="7135" w:type="dxa"/>
            <w:vAlign w:val="center"/>
          </w:tcPr>
          <w:p w14:paraId="721934D3">
            <w:pPr>
              <w:tabs>
                <w:tab w:val="left" w:pos="312"/>
              </w:tabs>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禽流感的广泛流行和鸡传染性法氏囊病、马立克氏病等免疫抑制病的存在，以及传统灭活疫苗免疫操作中存在的高人工成本问题，严重制约家禽产业的健康可持续发展。火鸡疱疹病毒活载体疫苗已广泛应用，但也面临几大技术痛点：对超强流行马立克氏病防控较弱；外源基因插入影响载体免疫原性和复制效率；多个外源基因基因表达存在干扰。当前技术存在显著局限，国际和国内尚无以马立克氏病病毒1型为载体的疫苗实际应用案例，更无表达禽流感病毒、鸡传染性法氏囊病病毒的马立克氏病病毒Ⅰ型活载体疫苗产品。现有疫苗仍依赖传统灭活苗或单一病原疫苗，存在免疫成本高、人工依赖性强、多病联防效果差等问题，严重制约家禽疫病防控效率与产业规模化发展。突破马立克氏病病毒Ⅰ型活载体疫苗的多联基因表达与高效免疫技术，是实现家禽疫病防控技术升级与产业突破的关键所在。</w:t>
            </w:r>
          </w:p>
        </w:tc>
      </w:tr>
      <w:tr w14:paraId="0A7A4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6" w:hRule="atLeast"/>
          <w:jc w:val="center"/>
        </w:trPr>
        <w:tc>
          <w:tcPr>
            <w:tcW w:w="1705" w:type="dxa"/>
            <w:vAlign w:val="center"/>
          </w:tcPr>
          <w:p w14:paraId="2DFE512A">
            <w:pPr>
              <w:jc w:val="center"/>
              <w:rPr>
                <w:rFonts w:ascii="黑体" w:hAnsi="黑体" w:eastAsia="黑体" w:cs="黑体"/>
                <w:sz w:val="24"/>
                <w:szCs w:val="24"/>
              </w:rPr>
            </w:pPr>
            <w:r>
              <w:rPr>
                <w:rFonts w:hint="eastAsia" w:ascii="黑体" w:hAnsi="黑体" w:eastAsia="黑体" w:cs="黑体"/>
                <w:sz w:val="24"/>
                <w:szCs w:val="24"/>
              </w:rPr>
              <w:t>项目目标</w:t>
            </w:r>
          </w:p>
        </w:tc>
        <w:tc>
          <w:tcPr>
            <w:tcW w:w="7135" w:type="dxa"/>
            <w:vAlign w:val="center"/>
          </w:tcPr>
          <w:p w14:paraId="19DA9748">
            <w:pPr>
              <w:pStyle w:val="19"/>
              <w:numPr>
                <w:ilvl w:val="0"/>
                <w:numId w:val="0"/>
              </w:numPr>
              <w:tabs>
                <w:tab w:val="left" w:pos="312"/>
              </w:tabs>
              <w:spacing w:line="360" w:lineRule="auto"/>
              <w:ind w:leftChars="23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 </w:t>
            </w:r>
            <w:r>
              <w:rPr>
                <w:rFonts w:hint="eastAsia" w:asciiTheme="minorEastAsia" w:hAnsiTheme="minorEastAsia" w:eastAsiaTheme="minorEastAsia" w:cstheme="minorEastAsia"/>
                <w:sz w:val="24"/>
                <w:szCs w:val="24"/>
              </w:rPr>
              <w:t>开发多价重组活疫苗</w:t>
            </w:r>
          </w:p>
          <w:p w14:paraId="2B3A7371">
            <w:pPr>
              <w:tabs>
                <w:tab w:val="left" w:pos="312"/>
              </w:tabs>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构建以马立克氏病病毒（MDV）Ⅰ型弱毒株为载体，同时表达H9亚型禽流感病毒（AIV）保护性抗原和鸡传染性法氏囊病病毒（IBDV）保护性抗原的重组病毒。通过单次免疫，实现“一针三防”，解决传统疫苗需多次接种、母源抗体干扰及免疫抑制问题。</w:t>
            </w:r>
          </w:p>
          <w:p w14:paraId="1E902ABE">
            <w:pPr>
              <w:tabs>
                <w:tab w:val="left" w:pos="312"/>
              </w:tabs>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构建以马立克氏病病毒（MDV）Ⅰ型弱毒株为载体，同时表达H5亚型和H7亚型禽流感病毒（AIV）保护性抗原的重组病毒。通过单次免疫，实现“一针三防”，解决传统疫苗需多次接种、母源抗体干扰及免疫抑制问题。</w:t>
            </w:r>
          </w:p>
          <w:p w14:paraId="4E6D4013">
            <w:pPr>
              <w:pStyle w:val="19"/>
              <w:numPr>
                <w:ilvl w:val="0"/>
                <w:numId w:val="0"/>
              </w:numPr>
              <w:tabs>
                <w:tab w:val="left" w:pos="312"/>
              </w:tabs>
              <w:spacing w:line="360" w:lineRule="auto"/>
              <w:ind w:left="433" w:leftChars="206" w:firstLine="69" w:firstLineChars="29"/>
              <w:jc w:val="left"/>
              <w:rPr>
                <w:rFonts w:hint="eastAsia" w:asciiTheme="minorEastAsia" w:hAnsiTheme="minorEastAsia" w:eastAsiaTheme="minorEastAsia" w:cstheme="minorEastAsia"/>
                <w:sz w:val="24"/>
                <w:szCs w:val="24"/>
              </w:rPr>
            </w:pPr>
            <w:r>
              <w:rPr>
                <w:rFonts w:hint="default" w:asciiTheme="minorEastAsia" w:hAnsiTheme="minorEastAsia" w:eastAsiaTheme="minorEastAsia" w:cstheme="minorEastAsia"/>
                <w:kern w:val="2"/>
                <w:sz w:val="24"/>
                <w:szCs w:val="24"/>
                <w:lang w:val="en-US" w:eastAsia="zh-CN" w:bidi="ar-SA"/>
              </w:rPr>
              <w:t>2</w:t>
            </w:r>
            <w:r>
              <w:rPr>
                <w:rFonts w:hint="eastAsia" w:asciiTheme="minorEastAsia" w:hAnsiTheme="minorEastAsia" w:eastAsiaTheme="minorEastAsia" w:cstheme="minorEastAsia"/>
                <w:kern w:val="2"/>
                <w:sz w:val="24"/>
                <w:szCs w:val="24"/>
                <w:lang w:val="en-US" w:eastAsia="zh-CN" w:bidi="ar-SA"/>
              </w:rPr>
              <w:t>.</w:t>
            </w:r>
            <w:r>
              <w:rPr>
                <w:rFonts w:hint="eastAsia" w:asciiTheme="minorEastAsia" w:hAnsiTheme="minorEastAsia" w:eastAsiaTheme="minorEastAsia" w:cstheme="minorEastAsia"/>
                <w:sz w:val="24"/>
                <w:szCs w:val="24"/>
              </w:rPr>
              <w:t>保证疫苗安全性、有效性与稳定性</w:t>
            </w:r>
          </w:p>
          <w:p w14:paraId="026600EA">
            <w:pPr>
              <w:tabs>
                <w:tab w:val="left" w:pos="312"/>
              </w:tabs>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（1）安全性满足国家标准或其它要求。</w:t>
            </w:r>
          </w:p>
          <w:p w14:paraId="4CE67288">
            <w:pPr>
              <w:tabs>
                <w:tab w:val="left" w:pos="312"/>
              </w:tabs>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（2）通过攻毒保护或抗体检测验证有效性，满足国家标准或其它要求。</w:t>
            </w:r>
          </w:p>
          <w:p w14:paraId="7BB5C7C9">
            <w:pPr>
              <w:tabs>
                <w:tab w:val="left" w:pos="312"/>
              </w:tabs>
              <w:spacing w:line="360" w:lineRule="auto"/>
              <w:ind w:firstLine="480" w:firstLineChars="200"/>
              <w:jc w:val="left"/>
              <w:rPr>
                <w:rFonts w:hint="eastAsia" w:asciiTheme="minorEastAsia" w:hAnsiTheme="minorEastAsia" w:eastAsiaTheme="minorEastAsia" w:cstheme="minorEastAsia"/>
                <w:sz w:val="24"/>
                <w:szCs w:val="24"/>
                <w:lang w:val="en"/>
              </w:rPr>
            </w:pPr>
            <w:r>
              <w:rPr>
                <w:rFonts w:hint="eastAsia" w:asciiTheme="minorEastAsia" w:hAnsiTheme="minorEastAsia" w:eastAsiaTheme="minorEastAsia" w:cstheme="minorEastAsia"/>
                <w:sz w:val="24"/>
                <w:szCs w:val="24"/>
              </w:rPr>
              <w:t>（3）确保重组病毒在鸡胚成纤维细胞（CEF）中连续传代≥20代后外源基因无丢失、变异，病毒滴度维持在一定水平。</w:t>
            </w:r>
          </w:p>
        </w:tc>
      </w:tr>
      <w:tr w14:paraId="44676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7" w:hRule="atLeast"/>
          <w:jc w:val="center"/>
        </w:trPr>
        <w:tc>
          <w:tcPr>
            <w:tcW w:w="1705" w:type="dxa"/>
            <w:vAlign w:val="center"/>
          </w:tcPr>
          <w:p w14:paraId="1E8ED790">
            <w:pPr>
              <w:jc w:val="center"/>
              <w:rPr>
                <w:rFonts w:ascii="黑体" w:hAnsi="黑体" w:eastAsia="黑体" w:cs="黑体"/>
                <w:sz w:val="24"/>
                <w:szCs w:val="24"/>
              </w:rPr>
            </w:pPr>
            <w:r>
              <w:rPr>
                <w:rFonts w:hint="eastAsia" w:ascii="黑体" w:hAnsi="黑体" w:eastAsia="黑体" w:cs="黑体"/>
                <w:sz w:val="24"/>
                <w:szCs w:val="24"/>
              </w:rPr>
              <w:t>考核指标</w:t>
            </w:r>
          </w:p>
        </w:tc>
        <w:tc>
          <w:tcPr>
            <w:tcW w:w="7135" w:type="dxa"/>
            <w:vAlign w:val="center"/>
          </w:tcPr>
          <w:p w14:paraId="51D62D66">
            <w:pPr>
              <w:tabs>
                <w:tab w:val="left" w:pos="312"/>
              </w:tabs>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
              </w:rPr>
              <w:t>1</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val="en"/>
              </w:rPr>
              <w:t>构建出</w:t>
            </w:r>
            <w:r>
              <w:rPr>
                <w:rFonts w:hint="eastAsia" w:asciiTheme="minorEastAsia" w:hAnsiTheme="minorEastAsia" w:eastAsiaTheme="minorEastAsia" w:cstheme="minorEastAsia"/>
                <w:sz w:val="24"/>
                <w:szCs w:val="24"/>
              </w:rPr>
              <w:t>同时表达H9亚型禽流感病毒（AIV）保护性抗原和鸡传染性法氏囊病病毒（IBDV）保护性抗原的马立克氏病毒Ⅰ型疫苗重组病毒，按照兽药典要求无菌检验、外源病毒检验均合格，种毒滴度不低于10</w:t>
            </w:r>
            <w:r>
              <w:rPr>
                <w:rFonts w:hint="eastAsia" w:asciiTheme="minorEastAsia" w:hAnsiTheme="minorEastAsia" w:eastAsiaTheme="minorEastAsia" w:cstheme="minorEastAsia"/>
                <w:sz w:val="24"/>
                <w:szCs w:val="24"/>
                <w:vertAlign w:val="superscript"/>
              </w:rPr>
              <w:t>5</w:t>
            </w:r>
            <w:r>
              <w:rPr>
                <w:rFonts w:hint="eastAsia" w:asciiTheme="minorEastAsia" w:hAnsiTheme="minorEastAsia" w:eastAsiaTheme="minorEastAsia" w:cstheme="minorEastAsia"/>
                <w:sz w:val="24"/>
                <w:szCs w:val="24"/>
              </w:rPr>
              <w:t>pfu/ml。</w:t>
            </w:r>
          </w:p>
          <w:p w14:paraId="287695D5">
            <w:pPr>
              <w:pStyle w:val="3"/>
              <w:spacing w:after="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构建出同时表达H5亚型和H7亚型禽流感病毒（AIV）保护性抗原的马立克氏病毒Ⅰ型重组病毒，按照兽药典要求无菌检验、外源病毒检验均合格，种毒滴度不低于10</w:t>
            </w:r>
            <w:r>
              <w:rPr>
                <w:rFonts w:hint="eastAsia" w:asciiTheme="minorEastAsia" w:hAnsiTheme="minorEastAsia" w:eastAsiaTheme="minorEastAsia" w:cstheme="minorEastAsia"/>
                <w:sz w:val="24"/>
                <w:szCs w:val="24"/>
                <w:vertAlign w:val="superscript"/>
              </w:rPr>
              <w:t>5</w:t>
            </w:r>
            <w:r>
              <w:rPr>
                <w:rFonts w:hint="eastAsia" w:asciiTheme="minorEastAsia" w:hAnsiTheme="minorEastAsia" w:eastAsiaTheme="minorEastAsia" w:cstheme="minorEastAsia"/>
                <w:sz w:val="24"/>
                <w:szCs w:val="24"/>
              </w:rPr>
              <w:t>pfu/ml。</w:t>
            </w:r>
          </w:p>
          <w:p w14:paraId="14EA962C">
            <w:pPr>
              <w:pStyle w:val="4"/>
              <w:spacing w:after="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两种重组病毒对1日龄SPF鸡和18-19日龄鸡胚安全性满足国家标准或其它要求，即：按照兽药典要求进行1日龄SPF鸡和18日龄鸡胚安全性试验，观察结束后，非特异性死亡不得超过2 只，剖检所有存活鸡，观察各组织和脏器病变，取卵巢或睾丸、肾脏、脾脏、肝脏、心脏、肺、法氏囊、腺胃和坐骨神经等组织，进行组织病理学检查。应无马立克氏病临床症状和特异性死亡，剖检应无肉眼可见变化和组织病理学变化。</w:t>
            </w:r>
          </w:p>
          <w:p w14:paraId="17FE475E">
            <w:pPr>
              <w:pStyle w:val="4"/>
              <w:spacing w:after="0" w:line="360" w:lineRule="auto"/>
              <w:ind w:firstLine="480" w:firstLineChars="200"/>
              <w:rPr>
                <w:rFonts w:hint="eastAsia" w:asciiTheme="minorEastAsia" w:hAnsiTheme="minorEastAsia" w:eastAsiaTheme="minorEastAsia" w:cstheme="minorEastAsia"/>
                <w:sz w:val="24"/>
                <w:szCs w:val="24"/>
                <w:lang w:val="en"/>
              </w:rPr>
            </w:pP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表达H9亚型禽流感病毒（AIV）保护性抗原和鸡传染性法氏囊病病毒（IBDV）保护性抗原的马立克氏病毒Ⅰ型疫苗重组病毒</w:t>
            </w:r>
            <w:r>
              <w:rPr>
                <w:rFonts w:hint="eastAsia" w:asciiTheme="minorEastAsia" w:hAnsiTheme="minorEastAsia" w:eastAsiaTheme="minorEastAsia" w:cstheme="minorEastAsia"/>
                <w:sz w:val="24"/>
                <w:szCs w:val="24"/>
                <w:lang w:val="en"/>
              </w:rPr>
              <w:t>对马立克氏病、H9亚型禽流感和鸡传染性法氏囊病的攻毒保护满足国家标准</w:t>
            </w:r>
            <w:r>
              <w:rPr>
                <w:rFonts w:hint="eastAsia" w:asciiTheme="minorEastAsia" w:hAnsiTheme="minorEastAsia" w:eastAsiaTheme="minorEastAsia" w:cstheme="minorEastAsia"/>
                <w:sz w:val="24"/>
                <w:szCs w:val="24"/>
              </w:rPr>
              <w:t>或其它要求</w:t>
            </w:r>
            <w:r>
              <w:rPr>
                <w:rFonts w:hint="eastAsia" w:asciiTheme="minorEastAsia" w:hAnsiTheme="minorEastAsia" w:eastAsiaTheme="minorEastAsia" w:cstheme="minorEastAsia"/>
                <w:sz w:val="24"/>
                <w:szCs w:val="24"/>
                <w:lang w:val="en"/>
              </w:rPr>
              <w:t>，即：对马立克氏病的相对保护率应至少80%，对H9亚型禽流感攻毒保护率应至少90%，对鸡传染性法氏囊病攻毒保护率应至少80%。</w:t>
            </w:r>
          </w:p>
          <w:p w14:paraId="43D3B3A8">
            <w:pPr>
              <w:pStyle w:val="4"/>
              <w:spacing w:after="0" w:line="360" w:lineRule="auto"/>
              <w:ind w:firstLine="480" w:firstLineChars="200"/>
              <w:rPr>
                <w:rFonts w:hint="eastAsia" w:asciiTheme="minorEastAsia" w:hAnsiTheme="minorEastAsia" w:eastAsiaTheme="minorEastAsia" w:cstheme="minorEastAsia"/>
                <w:sz w:val="24"/>
                <w:szCs w:val="24"/>
                <w:lang w:val="en"/>
              </w:rPr>
            </w:pPr>
            <w:r>
              <w:rPr>
                <w:rFonts w:hint="eastAsia" w:asciiTheme="minorEastAsia" w:hAnsiTheme="minorEastAsia" w:eastAsiaTheme="minorEastAsia" w:cstheme="minorEastAsia"/>
                <w:sz w:val="24"/>
                <w:szCs w:val="24"/>
                <w:lang w:val="en"/>
              </w:rPr>
              <w:t>5</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表达H5亚型和H7亚型禽流感病毒（AIV）保护性抗原</w:t>
            </w:r>
            <w:bookmarkStart w:id="3" w:name="_GoBack"/>
            <w:bookmarkEnd w:id="3"/>
            <w:r>
              <w:rPr>
                <w:rFonts w:hint="eastAsia" w:asciiTheme="minorEastAsia" w:hAnsiTheme="minorEastAsia" w:eastAsiaTheme="minorEastAsia" w:cstheme="minorEastAsia"/>
                <w:sz w:val="24"/>
                <w:szCs w:val="24"/>
              </w:rPr>
              <w:t>的马立克氏病毒Ⅰ型重组病毒对</w:t>
            </w:r>
            <w:r>
              <w:rPr>
                <w:rFonts w:hint="eastAsia" w:asciiTheme="minorEastAsia" w:hAnsiTheme="minorEastAsia" w:eastAsiaTheme="minorEastAsia" w:cstheme="minorEastAsia"/>
                <w:sz w:val="24"/>
                <w:szCs w:val="24"/>
                <w:lang w:val="en"/>
              </w:rPr>
              <w:t>马立克氏病、H5亚型禽流感和H7亚型禽流感</w:t>
            </w:r>
            <w:r>
              <w:rPr>
                <w:rFonts w:hint="eastAsia" w:asciiTheme="minorEastAsia" w:hAnsiTheme="minorEastAsia" w:eastAsiaTheme="minorEastAsia" w:cstheme="minorEastAsia"/>
                <w:sz w:val="24"/>
                <w:szCs w:val="24"/>
              </w:rPr>
              <w:t>的攻毒保护或抗体效价满足国家标准或其它要求，</w:t>
            </w:r>
            <w:r>
              <w:rPr>
                <w:rFonts w:hint="eastAsia" w:asciiTheme="minorEastAsia" w:hAnsiTheme="minorEastAsia" w:eastAsiaTheme="minorEastAsia" w:cstheme="minorEastAsia"/>
                <w:sz w:val="24"/>
                <w:szCs w:val="24"/>
                <w:lang w:val="en"/>
              </w:rPr>
              <w:t>即：对马立克氏病的相对保护率应至少80%，对H5亚型禽流感的攻毒保护率达100%或HI抗体均值不低于1:16，对H7亚型禽流感的攻毒保护率达100%或HI抗体均值不低于1:16</w:t>
            </w:r>
            <w:r>
              <w:rPr>
                <w:rFonts w:hint="eastAsia" w:asciiTheme="minorEastAsia" w:hAnsiTheme="minorEastAsia" w:eastAsiaTheme="minorEastAsia" w:cstheme="minorEastAsia"/>
                <w:sz w:val="24"/>
                <w:szCs w:val="24"/>
              </w:rPr>
              <w:t>。</w:t>
            </w:r>
          </w:p>
          <w:p w14:paraId="74B50EDC">
            <w:pPr>
              <w:pStyle w:val="3"/>
              <w:spacing w:after="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两种重组病毒的稳定性应满足：在鸡胚成纤维细胞（CEF）中连续传代≥20代后外源基因无丢失、变异，病毒滴度不低于10</w:t>
            </w:r>
            <w:r>
              <w:rPr>
                <w:rFonts w:hint="eastAsia" w:asciiTheme="minorEastAsia" w:hAnsiTheme="minorEastAsia" w:eastAsiaTheme="minorEastAsia" w:cstheme="minorEastAsia"/>
                <w:sz w:val="24"/>
                <w:szCs w:val="24"/>
                <w:vertAlign w:val="superscript"/>
              </w:rPr>
              <w:t>5</w:t>
            </w:r>
            <w:r>
              <w:rPr>
                <w:rFonts w:hint="eastAsia" w:asciiTheme="minorEastAsia" w:hAnsiTheme="minorEastAsia" w:eastAsiaTheme="minorEastAsia" w:cstheme="minorEastAsia"/>
                <w:sz w:val="24"/>
                <w:szCs w:val="24"/>
              </w:rPr>
              <w:t>pfu/ml。</w:t>
            </w:r>
          </w:p>
        </w:tc>
      </w:tr>
      <w:tr w14:paraId="78BB4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3" w:hRule="atLeast"/>
          <w:jc w:val="center"/>
        </w:trPr>
        <w:tc>
          <w:tcPr>
            <w:tcW w:w="1705" w:type="dxa"/>
            <w:vAlign w:val="center"/>
          </w:tcPr>
          <w:p w14:paraId="1C8CE7EF">
            <w:pPr>
              <w:jc w:val="center"/>
              <w:rPr>
                <w:rFonts w:ascii="黑体" w:hAnsi="黑体" w:eastAsia="黑体" w:cs="黑体"/>
                <w:sz w:val="24"/>
                <w:szCs w:val="24"/>
              </w:rPr>
            </w:pPr>
            <w:r>
              <w:rPr>
                <w:rFonts w:hint="eastAsia" w:ascii="黑体" w:hAnsi="黑体" w:eastAsia="黑体" w:cs="黑体"/>
                <w:sz w:val="24"/>
                <w:szCs w:val="24"/>
              </w:rPr>
              <w:t>对揭榜方要求</w:t>
            </w:r>
          </w:p>
        </w:tc>
        <w:tc>
          <w:tcPr>
            <w:tcW w:w="7135" w:type="dxa"/>
            <w:vAlign w:val="center"/>
          </w:tcPr>
          <w:p w14:paraId="17C8B399">
            <w:pPr>
              <w:numPr>
                <w:ilvl w:val="0"/>
                <w:numId w:val="0"/>
              </w:numPr>
              <w:spacing w:line="360" w:lineRule="auto"/>
              <w:ind w:firstLine="480" w:firstLineChars="200"/>
              <w:rPr>
                <w:rStyle w:val="20"/>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2"/>
                <w:sz w:val="24"/>
                <w:szCs w:val="24"/>
                <w:lang w:val="en-US" w:eastAsia="zh-CN" w:bidi="ar-SA"/>
              </w:rPr>
              <w:t>1</w:t>
            </w:r>
            <w:r>
              <w:rPr>
                <w:rFonts w:hint="eastAsia" w:asciiTheme="minorEastAsia" w:hAnsiTheme="minorEastAsia" w:eastAsiaTheme="minorEastAsia" w:cstheme="minorEastAsia"/>
                <w:sz w:val="24"/>
                <w:szCs w:val="24"/>
                <w:highlight w:val="none"/>
                <w:lang w:val="en-US" w:eastAsia="zh-CN"/>
              </w:rPr>
              <w:t>.</w:t>
            </w:r>
            <w:r>
              <w:rPr>
                <w:rStyle w:val="20"/>
                <w:rFonts w:hint="eastAsia" w:asciiTheme="minorEastAsia" w:hAnsiTheme="minorEastAsia" w:eastAsiaTheme="minorEastAsia" w:cstheme="minorEastAsia"/>
                <w:sz w:val="24"/>
                <w:szCs w:val="24"/>
              </w:rPr>
              <w:t>具有马立克氏病疫苗研究方面的工作积累和成果。</w:t>
            </w:r>
          </w:p>
          <w:p w14:paraId="3BC8DDCE">
            <w:pPr>
              <w:numPr>
                <w:ilvl w:val="0"/>
                <w:numId w:val="0"/>
              </w:numPr>
              <w:spacing w:line="360" w:lineRule="auto"/>
              <w:ind w:left="0" w:leftChars="0" w:firstLine="480" w:firstLineChars="200"/>
              <w:rPr>
                <w:rStyle w:val="20"/>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2"/>
                <w:sz w:val="24"/>
                <w:szCs w:val="24"/>
                <w:lang w:val="en-US" w:eastAsia="zh-CN" w:bidi="ar-SA"/>
              </w:rPr>
              <w:t>2</w:t>
            </w:r>
            <w:r>
              <w:rPr>
                <w:rFonts w:hint="eastAsia" w:asciiTheme="minorEastAsia" w:hAnsiTheme="minorEastAsia" w:eastAsiaTheme="minorEastAsia" w:cstheme="minorEastAsia"/>
                <w:sz w:val="24"/>
                <w:szCs w:val="24"/>
                <w:highlight w:val="none"/>
                <w:lang w:val="en-US" w:eastAsia="zh-CN"/>
              </w:rPr>
              <w:t>.</w:t>
            </w:r>
            <w:r>
              <w:rPr>
                <w:rStyle w:val="20"/>
                <w:rFonts w:hint="eastAsia" w:asciiTheme="minorEastAsia" w:hAnsiTheme="minorEastAsia" w:eastAsiaTheme="minorEastAsia" w:cstheme="minorEastAsia"/>
                <w:sz w:val="24"/>
                <w:szCs w:val="24"/>
              </w:rPr>
              <w:t>获得过国家新兽药注册证书或科技奖励及相关发明专利。</w:t>
            </w:r>
          </w:p>
          <w:p w14:paraId="444F6250">
            <w:pPr>
              <w:numPr>
                <w:ilvl w:val="0"/>
                <w:numId w:val="0"/>
              </w:numPr>
              <w:spacing w:line="360" w:lineRule="auto"/>
              <w:ind w:left="0" w:leftChars="0" w:firstLine="480" w:firstLineChars="200"/>
              <w:rPr>
                <w:rStyle w:val="20"/>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2"/>
                <w:sz w:val="24"/>
                <w:szCs w:val="24"/>
                <w:lang w:val="en-US" w:eastAsia="zh-CN" w:bidi="ar-SA"/>
              </w:rPr>
              <w:t>3</w:t>
            </w:r>
            <w:r>
              <w:rPr>
                <w:rFonts w:hint="eastAsia" w:asciiTheme="minorEastAsia" w:hAnsiTheme="minorEastAsia" w:eastAsiaTheme="minorEastAsia" w:cstheme="minorEastAsia"/>
                <w:sz w:val="24"/>
                <w:szCs w:val="24"/>
                <w:highlight w:val="none"/>
                <w:lang w:val="en-US" w:eastAsia="zh-CN"/>
              </w:rPr>
              <w:t>.</w:t>
            </w:r>
            <w:r>
              <w:rPr>
                <w:rStyle w:val="20"/>
                <w:rFonts w:hint="eastAsia" w:asciiTheme="minorEastAsia" w:hAnsiTheme="minorEastAsia" w:eastAsiaTheme="minorEastAsia" w:cstheme="minorEastAsia"/>
                <w:sz w:val="24"/>
                <w:szCs w:val="24"/>
              </w:rPr>
              <w:t>具有明晰的马立克病毒载体相关的知识产权，可直接用于本项目的产业化开发及新兽药产品注册申报，无法律风险。</w:t>
            </w:r>
          </w:p>
          <w:p w14:paraId="66B61B36">
            <w:pPr>
              <w:numPr>
                <w:ilvl w:val="0"/>
                <w:numId w:val="0"/>
              </w:numPr>
              <w:spacing w:line="360" w:lineRule="auto"/>
              <w:ind w:left="0"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2"/>
                <w:sz w:val="24"/>
                <w:szCs w:val="24"/>
                <w:lang w:val="en-US" w:eastAsia="zh-CN" w:bidi="ar-SA"/>
              </w:rPr>
              <w:t>4</w:t>
            </w:r>
            <w:r>
              <w:rPr>
                <w:rFonts w:hint="eastAsia" w:asciiTheme="minorEastAsia" w:hAnsiTheme="minorEastAsia" w:eastAsiaTheme="minorEastAsia" w:cstheme="minorEastAsia"/>
                <w:sz w:val="24"/>
                <w:szCs w:val="24"/>
                <w:highlight w:val="none"/>
                <w:lang w:val="en-US" w:eastAsia="zh-CN"/>
              </w:rPr>
              <w:t>.</w:t>
            </w:r>
            <w:r>
              <w:rPr>
                <w:rStyle w:val="20"/>
                <w:rFonts w:hint="eastAsia" w:asciiTheme="minorEastAsia" w:hAnsiTheme="minorEastAsia" w:eastAsiaTheme="minorEastAsia" w:cstheme="minorEastAsia"/>
                <w:sz w:val="24"/>
                <w:szCs w:val="24"/>
              </w:rPr>
              <w:t>具有与项目研发相匹配的人员和适应项目完成的基础条件。</w:t>
            </w:r>
          </w:p>
        </w:tc>
      </w:tr>
    </w:tbl>
    <w:p w14:paraId="58D272F7"/>
    <w:p w14:paraId="04608D61">
      <w:pPr>
        <w:pStyle w:val="3"/>
      </w:pPr>
    </w:p>
    <w:p w14:paraId="25458A0D">
      <w:pPr>
        <w:pStyle w:val="4"/>
      </w:pPr>
    </w:p>
    <w:p w14:paraId="02A78EB2">
      <w:pPr>
        <w:pStyle w:val="4"/>
      </w:pPr>
    </w:p>
    <w:p w14:paraId="776AC1BD">
      <w:r>
        <w:br w:type="page"/>
      </w:r>
    </w:p>
    <w:tbl>
      <w:tblPr>
        <w:tblStyle w:val="10"/>
        <w:tblW w:w="87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7007"/>
      </w:tblGrid>
      <w:tr w14:paraId="74A9F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705" w:type="dxa"/>
            <w:vAlign w:val="center"/>
          </w:tcPr>
          <w:p w14:paraId="4204A423">
            <w:pPr>
              <w:jc w:val="center"/>
              <w:rPr>
                <w:rFonts w:hint="eastAsia" w:ascii="Times New Roman" w:hAnsi="Times New Roman" w:eastAsia="黑体"/>
                <w:sz w:val="24"/>
                <w:szCs w:val="24"/>
                <w:lang w:eastAsia="zh-CN"/>
              </w:rPr>
            </w:pPr>
            <w:r>
              <w:rPr>
                <w:rFonts w:ascii="Times New Roman" w:hAnsi="Times New Roman" w:eastAsia="黑体"/>
                <w:sz w:val="24"/>
                <w:szCs w:val="24"/>
              </w:rPr>
              <w:t>需求项目</w:t>
            </w:r>
            <w:r>
              <w:rPr>
                <w:rFonts w:hint="eastAsia" w:ascii="Times New Roman" w:hAnsi="Times New Roman" w:eastAsia="黑体"/>
                <w:sz w:val="24"/>
                <w:szCs w:val="24"/>
                <w:lang w:eastAsia="zh-CN"/>
              </w:rPr>
              <w:t>（二）</w:t>
            </w:r>
          </w:p>
        </w:tc>
        <w:tc>
          <w:tcPr>
            <w:tcW w:w="7007" w:type="dxa"/>
            <w:vAlign w:val="center"/>
          </w:tcPr>
          <w:p w14:paraId="505FDCB9">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观赏鱼开口活饵产业化生产技术及装备研发</w:t>
            </w:r>
          </w:p>
        </w:tc>
      </w:tr>
      <w:tr w14:paraId="2C7C1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705" w:type="dxa"/>
            <w:vAlign w:val="center"/>
          </w:tcPr>
          <w:p w14:paraId="203D0F53">
            <w:pPr>
              <w:jc w:val="center"/>
              <w:rPr>
                <w:rFonts w:ascii="Times New Roman" w:hAnsi="Times New Roman" w:eastAsia="黑体"/>
                <w:sz w:val="24"/>
                <w:szCs w:val="24"/>
              </w:rPr>
            </w:pPr>
            <w:r>
              <w:rPr>
                <w:rFonts w:hint="eastAsia" w:ascii="Times New Roman" w:hAnsi="Times New Roman" w:eastAsia="黑体"/>
                <w:sz w:val="24"/>
                <w:szCs w:val="24"/>
                <w:highlight w:val="none"/>
                <w:lang w:eastAsia="zh-CN"/>
              </w:rPr>
              <w:t>企业名称</w:t>
            </w:r>
          </w:p>
        </w:tc>
        <w:tc>
          <w:tcPr>
            <w:tcW w:w="7007" w:type="dxa"/>
            <w:vAlign w:val="center"/>
          </w:tcPr>
          <w:p w14:paraId="638FED58">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北京九鱼种业有限公司</w:t>
            </w:r>
          </w:p>
        </w:tc>
      </w:tr>
      <w:tr w14:paraId="04CC4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705" w:type="dxa"/>
            <w:vAlign w:val="center"/>
          </w:tcPr>
          <w:p w14:paraId="62D1C985">
            <w:pPr>
              <w:jc w:val="center"/>
              <w:rPr>
                <w:rFonts w:hint="eastAsia" w:ascii="Times New Roman" w:hAnsi="Times New Roman" w:eastAsia="黑体"/>
                <w:sz w:val="24"/>
                <w:szCs w:val="24"/>
              </w:rPr>
            </w:pPr>
            <w:r>
              <w:rPr>
                <w:rFonts w:hint="eastAsia" w:ascii="Times New Roman" w:hAnsi="Times New Roman" w:eastAsia="黑体"/>
                <w:sz w:val="24"/>
                <w:szCs w:val="24"/>
              </w:rPr>
              <w:t>联系人及</w:t>
            </w:r>
          </w:p>
          <w:p w14:paraId="75D1EBBC">
            <w:pPr>
              <w:jc w:val="center"/>
              <w:rPr>
                <w:rFonts w:ascii="Times New Roman" w:hAnsi="Times New Roman" w:eastAsia="黑体"/>
                <w:sz w:val="24"/>
                <w:szCs w:val="24"/>
              </w:rPr>
            </w:pPr>
            <w:r>
              <w:rPr>
                <w:rFonts w:hint="eastAsia" w:ascii="Times New Roman" w:hAnsi="Times New Roman" w:eastAsia="黑体"/>
                <w:sz w:val="24"/>
                <w:szCs w:val="24"/>
              </w:rPr>
              <w:t>联系电话</w:t>
            </w:r>
          </w:p>
        </w:tc>
        <w:tc>
          <w:tcPr>
            <w:tcW w:w="7007" w:type="dxa"/>
            <w:vAlign w:val="center"/>
          </w:tcPr>
          <w:p w14:paraId="3C62EEBE">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黄昊 13260312660</w:t>
            </w:r>
          </w:p>
        </w:tc>
      </w:tr>
      <w:tr w14:paraId="7C613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705" w:type="dxa"/>
            <w:vAlign w:val="center"/>
          </w:tcPr>
          <w:p w14:paraId="487BD673">
            <w:pPr>
              <w:jc w:val="center"/>
              <w:rPr>
                <w:rFonts w:ascii="Times New Roman" w:hAnsi="Times New Roman" w:eastAsia="黑体"/>
                <w:sz w:val="24"/>
                <w:szCs w:val="24"/>
              </w:rPr>
            </w:pPr>
            <w:r>
              <w:rPr>
                <w:rFonts w:hint="eastAsia" w:ascii="Times New Roman" w:hAnsi="Times New Roman" w:eastAsia="黑体"/>
                <w:sz w:val="24"/>
                <w:szCs w:val="24"/>
              </w:rPr>
              <w:t>项目周期</w:t>
            </w:r>
          </w:p>
        </w:tc>
        <w:tc>
          <w:tcPr>
            <w:tcW w:w="7007" w:type="dxa"/>
            <w:vAlign w:val="center"/>
          </w:tcPr>
          <w:p w14:paraId="23901FB5">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2年</w:t>
            </w:r>
          </w:p>
        </w:tc>
      </w:tr>
      <w:tr w14:paraId="19BC0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705" w:type="dxa"/>
            <w:vAlign w:val="center"/>
          </w:tcPr>
          <w:p w14:paraId="3C866B63">
            <w:pPr>
              <w:jc w:val="center"/>
              <w:rPr>
                <w:rFonts w:ascii="Times New Roman" w:hAnsi="Times New Roman" w:eastAsia="黑体"/>
                <w:sz w:val="24"/>
                <w:szCs w:val="24"/>
              </w:rPr>
            </w:pPr>
            <w:r>
              <w:rPr>
                <w:rFonts w:hint="eastAsia" w:ascii="Times New Roman" w:hAnsi="Times New Roman" w:eastAsia="黑体"/>
                <w:sz w:val="24"/>
                <w:szCs w:val="24"/>
              </w:rPr>
              <w:t>企业出资金额</w:t>
            </w:r>
          </w:p>
        </w:tc>
        <w:tc>
          <w:tcPr>
            <w:tcW w:w="7007" w:type="dxa"/>
            <w:vAlign w:val="center"/>
          </w:tcPr>
          <w:p w14:paraId="20FEB26B">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100万</w:t>
            </w:r>
            <w:r>
              <w:rPr>
                <w:rFonts w:hint="eastAsia" w:asciiTheme="minorEastAsia" w:hAnsiTheme="minorEastAsia" w:eastAsiaTheme="minorEastAsia" w:cstheme="minorEastAsia"/>
                <w:sz w:val="24"/>
                <w:szCs w:val="24"/>
                <w:highlight w:val="none"/>
              </w:rPr>
              <w:t>元</w:t>
            </w:r>
          </w:p>
        </w:tc>
      </w:tr>
      <w:tr w14:paraId="7D852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5" w:type="dxa"/>
            <w:vAlign w:val="center"/>
          </w:tcPr>
          <w:p w14:paraId="1B0515D0">
            <w:pPr>
              <w:jc w:val="center"/>
              <w:rPr>
                <w:rFonts w:ascii="Times New Roman" w:hAnsi="Times New Roman" w:eastAsia="黑体"/>
                <w:sz w:val="24"/>
                <w:szCs w:val="24"/>
              </w:rPr>
            </w:pPr>
            <w:r>
              <w:rPr>
                <w:rFonts w:ascii="Times New Roman" w:hAnsi="Times New Roman" w:eastAsia="黑体"/>
                <w:sz w:val="24"/>
                <w:szCs w:val="24"/>
              </w:rPr>
              <w:t>需求背景</w:t>
            </w:r>
          </w:p>
        </w:tc>
        <w:tc>
          <w:tcPr>
            <w:tcW w:w="7007" w:type="dxa"/>
            <w:vAlign w:val="center"/>
          </w:tcPr>
          <w:p w14:paraId="0AF7C008">
            <w:pPr>
              <w:pStyle w:val="19"/>
              <w:spacing w:line="360" w:lineRule="auto"/>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2021年北京市水产种质资源普查，观赏鱼（锦鲤、金鱼、草金鱼）为主的养殖场共229户，养殖面积为7288.53亩。特别是北京地区年产宫廷金鱼苗种约为1.5亿尾，占全国金鱼产量的三分之一。鱼苗开口期有没有合适的开口饵料，直接影响着鱼苗的成活率和生长速度，也成为影响北京观赏鱼产业发展的重要因素。轮虫因其营养均衡且有净水作用，是金鱼、锦鲤等观赏鱼最好的开口饵料，目前一般采用野捕或外地购买的方法获取，但北京地区因环境治理水质变好，因此很难在天然水域中捕到；异地捕捞或购买，又因活饵的离水存活时间短，存在季节性强、易污染、成本高、数量少、难维持等问题，数量、质量和品质都难以保证。</w:t>
            </w:r>
          </w:p>
          <w:p w14:paraId="73AA21F0">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由于开口期适口饵料的缺乏，①会导致鱼苗生长规格不齐，特别是单尾或少尾的淘汰金鱼苗会因游动和抢食能力强而蚕食活动能力弱的多尾优质鱼苗，从而导致宫廷金鱼优质鱼苗的存活率在养殖初期就大幅减少；②人工饲料或蛋黄豆浆等活饵替代品容易污染水体，鱼苗生长缓慢，不仅增加管理难度和养殖风险还使得鱼苗成品率降低。严重威胁到北京地区观赏鱼保种和育种工作的正常开展。</w:t>
            </w:r>
          </w:p>
          <w:p w14:paraId="1E0296E5">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观赏鱼开口活饵的产业化生产技术及装备研发，可通过“可控、安全、高效、可持续”的模式，解决水产养殖中的鱼苗开口期饵料缺乏的产业痛点。为现代水产精细化标准化养殖奠定基础。</w:t>
            </w:r>
          </w:p>
        </w:tc>
      </w:tr>
      <w:tr w14:paraId="4F125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1705" w:type="dxa"/>
            <w:vAlign w:val="center"/>
          </w:tcPr>
          <w:p w14:paraId="76BB1816">
            <w:pPr>
              <w:jc w:val="center"/>
              <w:rPr>
                <w:rFonts w:ascii="Times New Roman" w:hAnsi="Times New Roman" w:eastAsia="黑体"/>
                <w:sz w:val="24"/>
                <w:szCs w:val="24"/>
              </w:rPr>
            </w:pPr>
            <w:r>
              <w:rPr>
                <w:rFonts w:hint="eastAsia" w:ascii="黑体" w:hAnsi="黑体" w:eastAsia="黑体" w:cs="黑体"/>
                <w:sz w:val="24"/>
                <w:szCs w:val="24"/>
              </w:rPr>
              <w:t>项目目标</w:t>
            </w:r>
          </w:p>
        </w:tc>
        <w:tc>
          <w:tcPr>
            <w:tcW w:w="7007" w:type="dxa"/>
            <w:vAlign w:val="center"/>
          </w:tcPr>
          <w:p w14:paraId="4161F099">
            <w:pPr>
              <w:pStyle w:val="4"/>
              <w:spacing w:after="0"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观赏鱼开口活饵人工扩培产业化生产技术开发和设备优化：</w:t>
            </w:r>
          </w:p>
          <w:p w14:paraId="2F31F42C">
            <w:pPr>
              <w:pStyle w:val="4"/>
              <w:numPr>
                <w:ilvl w:val="0"/>
                <w:numId w:val="0"/>
              </w:numPr>
              <w:spacing w:after="0" w:line="360" w:lineRule="auto"/>
              <w:ind w:firstLine="480" w:firstLineChars="200"/>
              <w:rPr>
                <w:rFonts w:hint="eastAsia" w:asciiTheme="minorEastAsia" w:hAnsiTheme="minorEastAsia" w:eastAsiaTheme="minorEastAsia" w:cstheme="minorEastAsia"/>
                <w:sz w:val="24"/>
              </w:rPr>
            </w:pPr>
            <w:bookmarkStart w:id="0" w:name="OLE_LINK3"/>
            <w:bookmarkStart w:id="1" w:name="OLE_LINK4"/>
            <w:r>
              <w:rPr>
                <w:rFonts w:hint="eastAsia" w:asciiTheme="minorEastAsia" w:hAnsiTheme="minorEastAsia" w:eastAsiaTheme="minorEastAsia" w:cstheme="minorEastAsia"/>
                <w:kern w:val="2"/>
                <w:sz w:val="24"/>
                <w:szCs w:val="22"/>
                <w:lang w:val="en-US" w:eastAsia="zh-CN" w:bidi="ar-SA"/>
              </w:rPr>
              <w:t>1</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rPr>
              <w:t>通过控温、控光等技术可实现全年连续产出，摆脱传统野外捕捞的季节限制，满足养殖和育种需求，保障观赏鱼苗种，特别是宫廷金鱼苗种的优质饵料供应。</w:t>
            </w:r>
          </w:p>
          <w:p w14:paraId="4F9C4938">
            <w:pPr>
              <w:pStyle w:val="4"/>
              <w:numPr>
                <w:ilvl w:val="0"/>
                <w:numId w:val="0"/>
              </w:numPr>
              <w:spacing w:after="0" w:line="360" w:lineRule="auto"/>
              <w:ind w:left="0" w:leftChars="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2"/>
                <w:sz w:val="24"/>
                <w:szCs w:val="22"/>
                <w:lang w:val="en-US" w:eastAsia="zh-CN" w:bidi="ar-SA"/>
              </w:rPr>
              <w:t>2</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rPr>
              <w:t>人工扩培产业化生产的开口活饵，相对野外捕捞，可以减少寄生虫、细菌、病毒病等疾病的传播，降低养殖成本与养殖风险。</w:t>
            </w:r>
          </w:p>
          <w:p w14:paraId="5B2A42D7">
            <w:pPr>
              <w:pStyle w:val="4"/>
              <w:numPr>
                <w:ilvl w:val="0"/>
                <w:numId w:val="0"/>
              </w:numPr>
              <w:spacing w:after="0" w:line="360" w:lineRule="auto"/>
              <w:ind w:left="0" w:leftChars="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2"/>
                <w:sz w:val="24"/>
                <w:szCs w:val="22"/>
                <w:lang w:val="en-US" w:eastAsia="zh-CN" w:bidi="ar-SA"/>
              </w:rPr>
              <w:t>3</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rPr>
              <w:t>通过精准调控养殖环境及饲养活饵的配方，确保活饵营养成分稳定，也可根据配方调整定向培育特定品种特定营养的活饵，有利于推动水产养殖业的标准化发展。</w:t>
            </w:r>
          </w:p>
          <w:p w14:paraId="0591A76F">
            <w:pPr>
              <w:pStyle w:val="4"/>
              <w:numPr>
                <w:ilvl w:val="0"/>
                <w:numId w:val="0"/>
              </w:numPr>
              <w:spacing w:after="0" w:line="360" w:lineRule="auto"/>
              <w:ind w:left="0" w:leftChars="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2"/>
                <w:sz w:val="24"/>
                <w:szCs w:val="22"/>
                <w:lang w:val="en-US" w:eastAsia="zh-CN" w:bidi="ar-SA"/>
              </w:rPr>
              <w:t>4</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rPr>
              <w:t>带动上下游产业（如养殖设备制造、饵料加工、物流运输），形成“生产-销售-服务”一体化模式，尤其在水产养殖集中区域，可成为乡村振兴的特色产业，创造新的经济增长点与就业机会。</w:t>
            </w:r>
          </w:p>
          <w:p w14:paraId="201FF1BE">
            <w:pPr>
              <w:pStyle w:val="4"/>
              <w:numPr>
                <w:ilvl w:val="0"/>
                <w:numId w:val="0"/>
              </w:numPr>
              <w:spacing w:after="0" w:line="360" w:lineRule="auto"/>
              <w:ind w:left="0" w:leftChars="0" w:firstLine="480" w:firstLineChars="200"/>
              <w:rPr>
                <w:rFonts w:hint="eastAsia" w:asciiTheme="minorEastAsia" w:hAnsiTheme="minorEastAsia" w:eastAsiaTheme="minorEastAsia" w:cstheme="minorEastAsia"/>
                <w:sz w:val="24"/>
                <w:lang w:val="en"/>
              </w:rPr>
            </w:pPr>
            <w:r>
              <w:rPr>
                <w:rFonts w:hint="eastAsia" w:asciiTheme="minorEastAsia" w:hAnsiTheme="minorEastAsia" w:eastAsiaTheme="minorEastAsia" w:cstheme="minorEastAsia"/>
                <w:kern w:val="2"/>
                <w:sz w:val="24"/>
                <w:szCs w:val="22"/>
                <w:lang w:val="en" w:eastAsia="zh-CN" w:bidi="ar-SA"/>
              </w:rPr>
              <w:t>5</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rPr>
              <w:t>产业化产品不仅局限于金鱼苗种生产，也可适用于绝大多数食用鱼和热带观赏鱼开口，产品市场前景广阔。</w:t>
            </w:r>
            <w:bookmarkEnd w:id="0"/>
            <w:bookmarkEnd w:id="1"/>
          </w:p>
        </w:tc>
      </w:tr>
      <w:tr w14:paraId="56945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jc w:val="center"/>
        </w:trPr>
        <w:tc>
          <w:tcPr>
            <w:tcW w:w="1705" w:type="dxa"/>
            <w:vAlign w:val="center"/>
          </w:tcPr>
          <w:p w14:paraId="1F587201">
            <w:pPr>
              <w:jc w:val="center"/>
              <w:rPr>
                <w:rFonts w:ascii="黑体" w:hAnsi="黑体" w:eastAsia="黑体" w:cs="黑体"/>
                <w:sz w:val="24"/>
                <w:szCs w:val="24"/>
              </w:rPr>
            </w:pPr>
            <w:r>
              <w:rPr>
                <w:rFonts w:hint="eastAsia" w:ascii="黑体" w:hAnsi="黑体" w:eastAsia="黑体" w:cs="黑体"/>
                <w:sz w:val="24"/>
                <w:szCs w:val="24"/>
              </w:rPr>
              <w:t>考核指标</w:t>
            </w:r>
          </w:p>
        </w:tc>
        <w:tc>
          <w:tcPr>
            <w:tcW w:w="7007" w:type="dxa"/>
            <w:vAlign w:val="center"/>
          </w:tcPr>
          <w:p w14:paraId="73DF3186">
            <w:pPr>
              <w:pStyle w:val="19"/>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bookmarkStart w:id="2" w:name="OLE_LINK6"/>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rPr>
              <w:t>开发出1套能显著提高操作精准度和减少人工的智慧化养殖设备；</w:t>
            </w:r>
          </w:p>
          <w:p w14:paraId="786B579F">
            <w:pPr>
              <w:pStyle w:val="19"/>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rPr>
              <w:t>确保开口活饵的产量稳定达1.5×10⁸个轮虫/m³水体；单日可收获2.3×10</w:t>
            </w:r>
            <w:r>
              <w:rPr>
                <w:rFonts w:hint="eastAsia" w:asciiTheme="minorEastAsia" w:hAnsiTheme="minorEastAsia" w:eastAsiaTheme="minorEastAsia" w:cstheme="minorEastAsia"/>
                <w:sz w:val="24"/>
                <w:szCs w:val="24"/>
                <w:vertAlign w:val="superscript"/>
              </w:rPr>
              <w:t>10</w:t>
            </w:r>
            <w:r>
              <w:rPr>
                <w:rFonts w:hint="eastAsia" w:asciiTheme="minorEastAsia" w:hAnsiTheme="minorEastAsia" w:eastAsiaTheme="minorEastAsia" w:cstheme="minorEastAsia"/>
                <w:sz w:val="24"/>
                <w:szCs w:val="24"/>
              </w:rPr>
              <w:t>个轮虫，以满足每天150万尾鱼苗的开口需求；</w:t>
            </w:r>
          </w:p>
          <w:p w14:paraId="29197DD8">
            <w:pPr>
              <w:pStyle w:val="19"/>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rPr>
              <w:t>制定出适合人工扩培开口活饵产业化的生产工艺操作流程，使操作流程化、标准化，具有可重复性。</w:t>
            </w:r>
            <w:bookmarkEnd w:id="2"/>
          </w:p>
        </w:tc>
      </w:tr>
      <w:tr w14:paraId="41B9F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3" w:hRule="atLeast"/>
          <w:jc w:val="center"/>
        </w:trPr>
        <w:tc>
          <w:tcPr>
            <w:tcW w:w="1705" w:type="dxa"/>
            <w:vAlign w:val="center"/>
          </w:tcPr>
          <w:p w14:paraId="26C4943D">
            <w:pPr>
              <w:jc w:val="center"/>
              <w:rPr>
                <w:rFonts w:ascii="黑体" w:hAnsi="黑体" w:eastAsia="黑体" w:cs="黑体"/>
                <w:sz w:val="24"/>
                <w:szCs w:val="24"/>
              </w:rPr>
            </w:pPr>
            <w:r>
              <w:rPr>
                <w:rFonts w:hint="eastAsia" w:ascii="黑体" w:hAnsi="黑体" w:eastAsia="黑体" w:cs="黑体"/>
                <w:sz w:val="24"/>
                <w:szCs w:val="24"/>
              </w:rPr>
              <w:t>对揭榜方要求</w:t>
            </w:r>
          </w:p>
        </w:tc>
        <w:tc>
          <w:tcPr>
            <w:tcW w:w="7007" w:type="dxa"/>
            <w:vAlign w:val="center"/>
          </w:tcPr>
          <w:p w14:paraId="1939D9AE">
            <w:pPr>
              <w:numPr>
                <w:ilvl w:val="0"/>
                <w:numId w:val="0"/>
              </w:numPr>
              <w:tabs>
                <w:tab w:val="left" w:pos="312"/>
              </w:tabs>
              <w:spacing w:line="360" w:lineRule="auto"/>
              <w:ind w:firstLine="480" w:firstLineChars="200"/>
              <w:jc w:val="left"/>
              <w:rPr>
                <w:rFonts w:hint="eastAsia" w:asciiTheme="minorEastAsia" w:hAnsiTheme="minorEastAsia" w:eastAsiaTheme="minorEastAsia" w:cstheme="minorEastAsia"/>
                <w:sz w:val="24"/>
                <w:szCs w:val="24"/>
                <w:lang w:val="en"/>
              </w:rPr>
            </w:pPr>
            <w:r>
              <w:rPr>
                <w:rFonts w:hint="eastAsia" w:asciiTheme="minorEastAsia" w:hAnsiTheme="minorEastAsia" w:eastAsiaTheme="minorEastAsia" w:cstheme="minorEastAsia"/>
                <w:kern w:val="2"/>
                <w:sz w:val="24"/>
                <w:szCs w:val="24"/>
                <w:lang w:val="en-US" w:eastAsia="zh-CN" w:bidi="ar-SA"/>
              </w:rPr>
              <w:t>1</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lang w:val="en"/>
              </w:rPr>
              <w:t>揭榜方具有雄厚的研究实力和熟悉相关领域的专家，对产业需求和生产实际有深入了解，有现成的技术或技术基础，优先考虑从事过相关的研究项目的研究单位。</w:t>
            </w:r>
          </w:p>
          <w:p w14:paraId="7FCC4E8E">
            <w:pPr>
              <w:numPr>
                <w:ilvl w:val="0"/>
                <w:numId w:val="0"/>
              </w:numPr>
              <w:tabs>
                <w:tab w:val="left" w:pos="312"/>
              </w:tabs>
              <w:spacing w:line="360" w:lineRule="auto"/>
              <w:ind w:firstLine="480" w:firstLineChars="200"/>
              <w:jc w:val="left"/>
              <w:rPr>
                <w:rFonts w:hint="eastAsia" w:asciiTheme="minorEastAsia" w:hAnsiTheme="minorEastAsia" w:eastAsiaTheme="minorEastAsia" w:cstheme="minorEastAsia"/>
                <w:sz w:val="24"/>
                <w:szCs w:val="24"/>
                <w:lang w:val="e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val="en"/>
              </w:rPr>
              <w:t>知识产权归属双方沟通确定。</w:t>
            </w:r>
          </w:p>
          <w:p w14:paraId="783676C3">
            <w:pPr>
              <w:numPr>
                <w:ilvl w:val="0"/>
                <w:numId w:val="0"/>
              </w:numPr>
              <w:tabs>
                <w:tab w:val="left" w:pos="312"/>
              </w:tabs>
              <w:spacing w:line="360" w:lineRule="auto"/>
              <w:ind w:firstLine="480" w:firstLineChars="200"/>
              <w:jc w:val="left"/>
              <w:rPr>
                <w:rFonts w:hint="eastAsia" w:asciiTheme="minorEastAsia" w:hAnsiTheme="minorEastAsia" w:eastAsiaTheme="minorEastAsia" w:cstheme="minorEastAsia"/>
                <w:sz w:val="24"/>
                <w:szCs w:val="24"/>
                <w:lang w:val="en"/>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lang w:val="en"/>
              </w:rPr>
              <w:t>利益分配由需求方和揭榜方本着共同开发、友好合作、可持续发展的原则协商后，签订合作协议。</w:t>
            </w:r>
          </w:p>
        </w:tc>
      </w:tr>
    </w:tbl>
    <w:p w14:paraId="2C6225D2">
      <w:pPr>
        <w:pStyle w:val="4"/>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523D5">
    <w:pPr>
      <w:pStyle w:val="6"/>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36D0C5E">
                <w:pPr>
                  <w:pStyle w:val="6"/>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DD1D4D"/>
    <w:rsid w:val="00071737"/>
    <w:rsid w:val="000C7B46"/>
    <w:rsid w:val="00152E4E"/>
    <w:rsid w:val="001B4FC0"/>
    <w:rsid w:val="002A00DF"/>
    <w:rsid w:val="002C138F"/>
    <w:rsid w:val="00303F39"/>
    <w:rsid w:val="00350F17"/>
    <w:rsid w:val="003C077F"/>
    <w:rsid w:val="00441409"/>
    <w:rsid w:val="0068357F"/>
    <w:rsid w:val="007522BF"/>
    <w:rsid w:val="00973F0F"/>
    <w:rsid w:val="00A1197A"/>
    <w:rsid w:val="00B3055D"/>
    <w:rsid w:val="00BA1DE9"/>
    <w:rsid w:val="00C20F8B"/>
    <w:rsid w:val="00D461F1"/>
    <w:rsid w:val="00D6736B"/>
    <w:rsid w:val="00D816A6"/>
    <w:rsid w:val="00DD1D4D"/>
    <w:rsid w:val="00EE453C"/>
    <w:rsid w:val="01A30E5C"/>
    <w:rsid w:val="01FB1EC9"/>
    <w:rsid w:val="03204429"/>
    <w:rsid w:val="06052E78"/>
    <w:rsid w:val="0BF55C20"/>
    <w:rsid w:val="0C3D5FA9"/>
    <w:rsid w:val="0DD26630"/>
    <w:rsid w:val="10BA3372"/>
    <w:rsid w:val="122B712F"/>
    <w:rsid w:val="20366A55"/>
    <w:rsid w:val="20586E69"/>
    <w:rsid w:val="23194618"/>
    <w:rsid w:val="25EF1FF1"/>
    <w:rsid w:val="26F471BF"/>
    <w:rsid w:val="2C45582A"/>
    <w:rsid w:val="2FD52DAF"/>
    <w:rsid w:val="302F1268"/>
    <w:rsid w:val="31886E82"/>
    <w:rsid w:val="3FE66D43"/>
    <w:rsid w:val="3FEE6892"/>
    <w:rsid w:val="418807D8"/>
    <w:rsid w:val="441C404D"/>
    <w:rsid w:val="45F57156"/>
    <w:rsid w:val="4CB16E35"/>
    <w:rsid w:val="528A14C9"/>
    <w:rsid w:val="53796E10"/>
    <w:rsid w:val="58823B6C"/>
    <w:rsid w:val="5FCE4005"/>
    <w:rsid w:val="601014F0"/>
    <w:rsid w:val="69E17673"/>
    <w:rsid w:val="713A57CE"/>
    <w:rsid w:val="736D5083"/>
    <w:rsid w:val="76DD7650"/>
    <w:rsid w:val="792059E4"/>
    <w:rsid w:val="7B017856"/>
    <w:rsid w:val="7D297C3A"/>
    <w:rsid w:val="7E2557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0"/>
    <w:pPr>
      <w:jc w:val="left"/>
    </w:pPr>
  </w:style>
  <w:style w:type="paragraph" w:styleId="3">
    <w:name w:val="Body Text"/>
    <w:basedOn w:val="1"/>
    <w:next w:val="4"/>
    <w:qFormat/>
    <w:uiPriority w:val="0"/>
    <w:pPr>
      <w:spacing w:after="140" w:line="276" w:lineRule="auto"/>
    </w:pPr>
  </w:style>
  <w:style w:type="paragraph" w:styleId="4">
    <w:name w:val="Body Text 2"/>
    <w:basedOn w:val="1"/>
    <w:unhideWhenUsed/>
    <w:qFormat/>
    <w:uiPriority w:val="99"/>
    <w:pPr>
      <w:spacing w:after="120" w:line="480" w:lineRule="auto"/>
    </w:pPr>
  </w:style>
  <w:style w:type="paragraph" w:styleId="5">
    <w:name w:val="Balloon Text"/>
    <w:basedOn w:val="1"/>
    <w:link w:val="17"/>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rPr>
      <w:sz w:val="24"/>
    </w:rPr>
  </w:style>
  <w:style w:type="paragraph" w:styleId="9">
    <w:name w:val="annotation subject"/>
    <w:basedOn w:val="2"/>
    <w:next w:val="2"/>
    <w:link w:val="16"/>
    <w:qFormat/>
    <w:uiPriority w:val="0"/>
    <w:rPr>
      <w:b/>
      <w:bCs/>
    </w:rPr>
  </w:style>
  <w:style w:type="character" w:styleId="12">
    <w:name w:val="annotation reference"/>
    <w:basedOn w:val="11"/>
    <w:qFormat/>
    <w:uiPriority w:val="0"/>
    <w:rPr>
      <w:sz w:val="21"/>
      <w:szCs w:val="21"/>
    </w:rPr>
  </w:style>
  <w:style w:type="character" w:customStyle="1" w:styleId="13">
    <w:name w:val="页眉 Char"/>
    <w:basedOn w:val="11"/>
    <w:link w:val="7"/>
    <w:qFormat/>
    <w:uiPriority w:val="0"/>
    <w:rPr>
      <w:rFonts w:ascii="等线" w:hAnsi="等线" w:eastAsia="等线"/>
      <w:kern w:val="2"/>
      <w:sz w:val="18"/>
      <w:szCs w:val="18"/>
    </w:rPr>
  </w:style>
  <w:style w:type="character" w:customStyle="1" w:styleId="14">
    <w:name w:val="页脚 Char"/>
    <w:basedOn w:val="11"/>
    <w:link w:val="6"/>
    <w:qFormat/>
    <w:uiPriority w:val="0"/>
    <w:rPr>
      <w:rFonts w:ascii="等线" w:hAnsi="等线" w:eastAsia="等线"/>
      <w:kern w:val="2"/>
      <w:sz w:val="18"/>
      <w:szCs w:val="18"/>
    </w:rPr>
  </w:style>
  <w:style w:type="character" w:customStyle="1" w:styleId="15">
    <w:name w:val="批注文字 Char"/>
    <w:basedOn w:val="11"/>
    <w:link w:val="2"/>
    <w:qFormat/>
    <w:uiPriority w:val="0"/>
    <w:rPr>
      <w:rFonts w:ascii="等线" w:hAnsi="等线" w:eastAsia="等线"/>
      <w:kern w:val="2"/>
      <w:sz w:val="21"/>
      <w:szCs w:val="22"/>
    </w:rPr>
  </w:style>
  <w:style w:type="character" w:customStyle="1" w:styleId="16">
    <w:name w:val="批注主题 Char"/>
    <w:basedOn w:val="15"/>
    <w:link w:val="9"/>
    <w:qFormat/>
    <w:uiPriority w:val="0"/>
    <w:rPr>
      <w:b/>
      <w:bCs/>
    </w:rPr>
  </w:style>
  <w:style w:type="character" w:customStyle="1" w:styleId="17">
    <w:name w:val="批注框文本 Char"/>
    <w:basedOn w:val="11"/>
    <w:link w:val="5"/>
    <w:qFormat/>
    <w:uiPriority w:val="0"/>
    <w:rPr>
      <w:rFonts w:ascii="等线" w:hAnsi="等线" w:eastAsia="等线"/>
      <w:kern w:val="2"/>
      <w:sz w:val="18"/>
      <w:szCs w:val="18"/>
    </w:rPr>
  </w:style>
  <w:style w:type="paragraph" w:customStyle="1" w:styleId="18">
    <w:name w:val="Revision"/>
    <w:hidden/>
    <w:unhideWhenUsed/>
    <w:qFormat/>
    <w:uiPriority w:val="99"/>
    <w:rPr>
      <w:rFonts w:ascii="等线" w:hAnsi="等线" w:eastAsia="等线" w:cs="Times New Roman"/>
      <w:kern w:val="2"/>
      <w:sz w:val="21"/>
      <w:szCs w:val="22"/>
      <w:lang w:val="en-US" w:eastAsia="zh-CN" w:bidi="ar-SA"/>
    </w:rPr>
  </w:style>
  <w:style w:type="paragraph" w:styleId="19">
    <w:name w:val="List Paragraph"/>
    <w:basedOn w:val="1"/>
    <w:qFormat/>
    <w:uiPriority w:val="99"/>
    <w:pPr>
      <w:ind w:firstLine="420" w:firstLineChars="200"/>
    </w:pPr>
  </w:style>
  <w:style w:type="character" w:customStyle="1" w:styleId="20">
    <w:name w:val="NormalCharacter"/>
    <w:semiHidden/>
    <w:qFormat/>
    <w:uiPriority w:val="0"/>
    <w:rPr>
      <w:rFonts w:ascii="Calibri" w:hAnsi="Calibr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2884</Words>
  <Characters>3064</Characters>
  <Lines>13</Lines>
  <Paragraphs>3</Paragraphs>
  <TotalTime>7</TotalTime>
  <ScaleCrop>false</ScaleCrop>
  <LinksUpToDate>false</LinksUpToDate>
  <CharactersWithSpaces>3071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2025-08-26T09:51:00Z</dcterms:created>
  <dc:creator>Administrator</dc:creator>
  <cp:lastModifiedBy>李敏</cp:lastModifiedBy>
  <dcterms:modified xsi:type="dcterms:W3CDTF">2025-10-27T01:24:58Z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eyJoZGlkIjoiMmUyYmI0NzFiOTllNTNhYjQzN2RiNmRkODVlNjNiM2QiLCJ1c2VySWQiOiIxMDYwMDc1MTc4In0=</vt:lpwstr>
  </property>
  <property fmtid="{D5CDD505-2E9C-101B-9397-08002B2CF9AE}" pid="4" name="ICV">
    <vt:lpwstr>B38A1162F19E40F5A16B693DD19B8333_13</vt:lpwstr>
  </property>
</Properties>
</file>