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00100" cy="666750"/>
            <wp:effectExtent l="0" t="0" r="0" b="0"/>
            <wp:docPr id="2" name="图片 6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256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4"/>
        <w:widowControl/>
        <w:spacing w:line="560" w:lineRule="exact"/>
        <w:jc w:val="center"/>
        <w:rPr>
          <w:rFonts w:hint="default" w:ascii="华文中宋" w:hAnsi="华文中宋" w:eastAsia="华文中宋" w:cs="华文中宋"/>
          <w:sz w:val="48"/>
          <w:szCs w:val="48"/>
        </w:rPr>
      </w:pPr>
      <w:r>
        <w:rPr>
          <w:rFonts w:ascii="华文中宋" w:hAnsi="华文中宋" w:eastAsia="华文中宋" w:cs="华文中宋"/>
          <w:sz w:val="48"/>
          <w:szCs w:val="48"/>
        </w:rPr>
        <w:t>市场流通综合管理系统</w:t>
      </w:r>
    </w:p>
    <w:p>
      <w:pPr>
        <w:spacing w:line="560" w:lineRule="exact"/>
        <w:jc w:val="center"/>
        <w:rPr>
          <w:rFonts w:ascii="宋体" w:hAnsi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宋体" w:hAnsi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华文中宋" w:hAnsi="华文中宋" w:eastAsia="华文中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农产品品牌建设</w:t>
      </w:r>
    </w:p>
    <w:p>
      <w:pPr>
        <w:spacing w:line="560" w:lineRule="exact"/>
        <w:jc w:val="center"/>
        <w:rPr>
          <w:rFonts w:ascii="华文中宋" w:hAnsi="华文中宋" w:eastAsia="华文中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华文中宋" w:hAnsi="华文中宋" w:eastAsia="华文中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华文中宋" w:hAnsi="华文中宋" w:eastAsia="华文中宋" w:cs="华文中宋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申报主体</w:t>
      </w:r>
      <w:r>
        <w:rPr>
          <w:rFonts w:hint="eastAsia" w:ascii="华文中宋" w:hAnsi="华文中宋" w:eastAsia="华文中宋" w:cs="华文中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用户使用手册】</w:t>
      </w:r>
    </w:p>
    <w:p>
      <w:pPr>
        <w:spacing w:line="560" w:lineRule="exact"/>
        <w:jc w:val="center"/>
        <w:rPr>
          <w:rFonts w:ascii="华文中宋" w:hAnsi="华文中宋" w:eastAsia="华文中宋"/>
          <w:color w:val="000000" w:themeColor="text1"/>
          <w:sz w:val="44"/>
          <w:szCs w:val="44"/>
          <w:highlight w:val="yellow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华文中宋" w:hAnsi="华文中宋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华文中宋" w:hAnsi="华文中宋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华文中宋" w:hAnsi="华文中宋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北京市农林科学院</w:t>
      </w:r>
    </w:p>
    <w:p>
      <w:pPr>
        <w:spacing w:line="560" w:lineRule="exac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华文中宋" w:hAnsi="华文中宋" w:eastAsia="华文中宋" w:cs="华文中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华文中宋" w:hAnsi="华文中宋" w:eastAsia="华文中宋" w:cs="华文中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年8月</w:t>
      </w:r>
    </w:p>
    <w:p>
      <w:pPr>
        <w:spacing w:line="48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14:textFill>
            <w14:solidFill>
              <w14:schemeClr w14:val="tx1"/>
            </w14:solidFill>
          </w14:textFill>
        </w:rPr>
        <w:sectPr>
          <w:headerReference r:id="rId4" w:type="first"/>
          <w:headerReference r:id="rId3" w:type="default"/>
          <w:footerReference r:id="rId5" w:type="default"/>
          <w:pgSz w:w="11906" w:h="16838"/>
          <w:pgMar w:top="2098" w:right="1474" w:bottom="1985" w:left="1588" w:header="851" w:footer="992" w:gutter="0"/>
          <w:pgNumType w:fmt="upperRoman" w:start="1"/>
          <w:cols w:space="425" w:num="1"/>
          <w:titlePg/>
          <w:docGrid w:type="lines" w:linePitch="326" w:charSpace="0"/>
        </w:sectPr>
      </w:pPr>
    </w:p>
    <w:sdt>
      <w:sdtPr>
        <w:rPr>
          <w:rFonts w:ascii="Calibri" w:hAnsi="Calibri" w:eastAsia="宋体" w:cs="Times New Roman"/>
          <w:color w:val="000000" w:themeColor="text1"/>
          <w:kern w:val="2"/>
          <w:sz w:val="24"/>
          <w:szCs w:val="22"/>
          <w:lang w:val="zh-CN"/>
          <w14:textFill>
            <w14:solidFill>
              <w14:schemeClr w14:val="tx1"/>
            </w14:solidFill>
          </w14:textFill>
        </w:rPr>
        <w:id w:val="-1013218247"/>
        <w:docPartObj>
          <w:docPartGallery w:val="Table of Contents"/>
          <w:docPartUnique/>
        </w:docPartObj>
      </w:sdtPr>
      <w:sdtEndPr>
        <w:rPr>
          <w:rFonts w:ascii="Calibri" w:hAnsi="Calibri" w:eastAsia="宋体" w:cs="Times New Roman"/>
          <w:color w:val="000000" w:themeColor="text1"/>
          <w:kern w:val="2"/>
          <w:sz w:val="24"/>
          <w:szCs w:val="22"/>
          <w:lang w:val="zh-CN"/>
          <w14:textFill>
            <w14:solidFill>
              <w14:schemeClr w14:val="tx1"/>
            </w14:solidFill>
          </w14:textFill>
        </w:rPr>
      </w:sdtEndPr>
      <w:sdtContent>
        <w:p>
          <w:pPr>
            <w:pStyle w:val="46"/>
            <w:numPr>
              <w:ilvl w:val="0"/>
              <w:numId w:val="0"/>
            </w:numPr>
            <w:tabs>
              <w:tab w:val="center" w:pos="4369"/>
              <w:tab w:val="left" w:pos="5835"/>
            </w:tabs>
            <w:spacing w:line="480" w:lineRule="auto"/>
            <w:ind w:left="432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Calibri" w:hAnsi="Calibri" w:eastAsia="宋体" w:cs="Times New Roman"/>
              <w:color w:val="000000" w:themeColor="text1"/>
              <w:kern w:val="2"/>
              <w:sz w:val="24"/>
              <w:szCs w:val="22"/>
              <w:lang w:val="zh-CN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目录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</w:p>
        <w:p>
          <w:pP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pStyle w:val="18"/>
            <w:tabs>
              <w:tab w:val="right" w:leader="dot" w:pos="8844"/>
            </w:tabs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TOC \o "1-3" \h \z \u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instrText xml:space="preserve"> HYPERLINK \l _Toc2649 </w:instrText>
          </w:r>
          <w:r>
            <w:fldChar w:fldCharType="separate"/>
          </w:r>
          <w:r>
            <w:rPr>
              <w:rFonts w:asciiTheme="minorEastAsia" w:hAnsiTheme="minorEastAsia" w:eastAsiaTheme="minorEastAsia" w:cstheme="minorEastAsia"/>
              <w:bCs w:val="0"/>
            </w:rPr>
            <w:t xml:space="preserve">1. </w:t>
          </w:r>
          <w:r>
            <w:rPr>
              <w:rFonts w:hint="eastAsia" w:asciiTheme="minorEastAsia" w:hAnsiTheme="minorEastAsia" w:eastAsiaTheme="minorEastAsia" w:cstheme="minorEastAsia"/>
              <w:bCs w:val="0"/>
            </w:rPr>
            <w:t>用户注册&amp;登录</w:t>
          </w:r>
          <w:r>
            <w:tab/>
          </w:r>
          <w:r>
            <w:fldChar w:fldCharType="begin"/>
          </w:r>
          <w:r>
            <w:instrText xml:space="preserve"> PAGEREF _Toc2649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9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_Toc5302 </w:instrText>
          </w:r>
          <w:r>
            <w:rPr>
              <w:lang w:val="zh-CN"/>
            </w:rPr>
            <w:fldChar w:fldCharType="separate"/>
          </w:r>
          <w:r>
            <w:t xml:space="preserve">1.1. </w:t>
          </w:r>
          <w:r>
            <w:rPr>
              <w:rFonts w:hint="eastAsia"/>
            </w:rPr>
            <w:t>用户类型</w:t>
          </w:r>
          <w:r>
            <w:tab/>
          </w:r>
          <w:r>
            <w:fldChar w:fldCharType="begin"/>
          </w:r>
          <w:r>
            <w:instrText xml:space="preserve"> PAGEREF _Toc5302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9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_Toc20434 </w:instrText>
          </w:r>
          <w:r>
            <w:rPr>
              <w:lang w:val="zh-CN"/>
            </w:rPr>
            <w:fldChar w:fldCharType="separate"/>
          </w:r>
          <w:r>
            <w:t xml:space="preserve">1.2. </w:t>
          </w:r>
          <w:r>
            <w:rPr>
              <w:rFonts w:hint="eastAsia"/>
            </w:rPr>
            <w:t>用户登录</w:t>
          </w:r>
          <w:r>
            <w:tab/>
          </w:r>
          <w:r>
            <w:fldChar w:fldCharType="begin"/>
          </w:r>
          <w:r>
            <w:instrText xml:space="preserve"> PAGEREF _Toc20434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9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_Toc4439 </w:instrText>
          </w:r>
          <w:r>
            <w:rPr>
              <w:lang w:val="zh-CN"/>
            </w:rPr>
            <w:fldChar w:fldCharType="separate"/>
          </w:r>
          <w:r>
            <w:t xml:space="preserve">1.3. </w:t>
          </w:r>
          <w:r>
            <w:rPr>
              <w:rFonts w:hint="eastAsia"/>
            </w:rPr>
            <w:t>首页</w:t>
          </w:r>
          <w:r>
            <w:tab/>
          </w:r>
          <w:r>
            <w:rPr>
              <w:rFonts w:hint="eastAsia"/>
              <w:lang w:val="en-US" w:eastAsia="zh-CN"/>
            </w:rPr>
            <w:t>3</w:t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9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_Toc12263 </w:instrText>
          </w:r>
          <w:r>
            <w:rPr>
              <w:lang w:val="zh-CN"/>
            </w:rPr>
            <w:fldChar w:fldCharType="separate"/>
          </w:r>
          <w:r>
            <w:t xml:space="preserve">1.4. </w:t>
          </w:r>
          <w:r>
            <w:rPr>
              <w:rFonts w:hint="eastAsia"/>
            </w:rPr>
            <w:t>退出</w:t>
          </w:r>
          <w:r>
            <w:tab/>
          </w:r>
          <w:r>
            <w:fldChar w:fldCharType="begin"/>
          </w:r>
          <w:r>
            <w:instrText xml:space="preserve"> PAGEREF _Toc12263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9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_Toc14284 </w:instrText>
          </w:r>
          <w:r>
            <w:rPr>
              <w:lang w:val="zh-CN"/>
            </w:rPr>
            <w:fldChar w:fldCharType="separate"/>
          </w:r>
          <w:r>
            <w:t xml:space="preserve">1.5. </w:t>
          </w:r>
          <w:r>
            <w:rPr>
              <w:rFonts w:hint="eastAsia"/>
            </w:rPr>
            <w:t>返回平台首页</w:t>
          </w:r>
          <w:r>
            <w:tab/>
          </w:r>
          <w:r>
            <w:fldChar w:fldCharType="begin"/>
          </w:r>
          <w:r>
            <w:instrText xml:space="preserve"> PAGEREF _Toc14284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8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_Toc3728 </w:instrText>
          </w:r>
          <w:r>
            <w:rPr>
              <w:lang w:val="zh-CN"/>
            </w:rPr>
            <w:fldChar w:fldCharType="separate"/>
          </w:r>
          <w:r>
            <w:rPr>
              <w:rFonts w:asciiTheme="minorEastAsia" w:hAnsiTheme="minorEastAsia" w:eastAsiaTheme="minorEastAsia" w:cstheme="minorEastAsia"/>
              <w:bCs w:val="0"/>
            </w:rPr>
            <w:t>2. 品牌</w:t>
          </w:r>
          <w:r>
            <w:rPr>
              <w:rFonts w:hint="eastAsia" w:asciiTheme="minorEastAsia" w:hAnsiTheme="minorEastAsia" w:eastAsiaTheme="minorEastAsia" w:cstheme="minorEastAsia"/>
              <w:bCs w:val="0"/>
            </w:rPr>
            <w:t>主体</w:t>
          </w:r>
          <w:r>
            <w:rPr>
              <w:rFonts w:asciiTheme="minorEastAsia" w:hAnsiTheme="minorEastAsia" w:eastAsiaTheme="minorEastAsia" w:cstheme="minorEastAsia"/>
              <w:bCs w:val="0"/>
            </w:rPr>
            <w:t>管理</w:t>
          </w:r>
          <w:r>
            <w:tab/>
          </w:r>
          <w:r>
            <w:fldChar w:fldCharType="begin"/>
          </w:r>
          <w:r>
            <w:instrText xml:space="preserve"> PAGEREF _Toc3728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8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_Toc13149 </w:instrText>
          </w:r>
          <w:r>
            <w:rPr>
              <w:lang w:val="zh-CN"/>
            </w:rPr>
            <w:fldChar w:fldCharType="separate"/>
          </w:r>
          <w:r>
            <w:rPr>
              <w:rFonts w:asciiTheme="minorEastAsia" w:hAnsiTheme="minorEastAsia" w:eastAsiaTheme="minorEastAsia" w:cstheme="minorEastAsia"/>
              <w:bCs w:val="0"/>
            </w:rPr>
            <w:t>3. 品牌申报管理</w:t>
          </w:r>
          <w:r>
            <w:tab/>
          </w:r>
          <w:r>
            <w:fldChar w:fldCharType="begin"/>
          </w:r>
          <w:r>
            <w:instrText xml:space="preserve"> PAGEREF _Toc13149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9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_Toc11353 </w:instrText>
          </w:r>
          <w:r>
            <w:rPr>
              <w:lang w:val="zh-CN"/>
            </w:rPr>
            <w:fldChar w:fldCharType="separate"/>
          </w:r>
          <w:r>
            <w:t xml:space="preserve">3.1. </w:t>
          </w:r>
          <w:r>
            <w:rPr>
              <w:rFonts w:hint="eastAsia"/>
            </w:rPr>
            <w:t>区域公用品牌申报</w:t>
          </w:r>
          <w:r>
            <w:tab/>
          </w:r>
          <w:r>
            <w:fldChar w:fldCharType="begin"/>
          </w:r>
          <w:r>
            <w:instrText xml:space="preserve"> PAGEREF _Toc11353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3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_Toc8998 </w:instrText>
          </w:r>
          <w:r>
            <w:rPr>
              <w:lang w:val="zh-CN"/>
            </w:rPr>
            <w:fldChar w:fldCharType="separate"/>
          </w:r>
          <w:r>
            <w:rPr>
              <w:bCs/>
              <w:szCs w:val="28"/>
            </w:rPr>
            <w:t xml:space="preserve">3.1.1. </w:t>
          </w:r>
          <w:r>
            <w:rPr>
              <w:rFonts w:hint="eastAsia"/>
              <w:bCs/>
              <w:szCs w:val="28"/>
            </w:rPr>
            <w:t>区域</w:t>
          </w:r>
          <w:r>
            <w:rPr>
              <w:bCs/>
              <w:szCs w:val="28"/>
            </w:rPr>
            <w:t>公用品牌管理界面</w:t>
          </w:r>
          <w:r>
            <w:tab/>
          </w:r>
          <w:r>
            <w:fldChar w:fldCharType="begin"/>
          </w:r>
          <w:r>
            <w:instrText xml:space="preserve"> PAGEREF _Toc8998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9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_Toc4528 </w:instrText>
          </w:r>
          <w:r>
            <w:rPr>
              <w:lang w:val="zh-CN"/>
            </w:rPr>
            <w:fldChar w:fldCharType="separate"/>
          </w:r>
          <w:r>
            <w:t xml:space="preserve">3.2. </w:t>
          </w:r>
          <w:r>
            <w:rPr>
              <w:rFonts w:hint="eastAsia"/>
            </w:rPr>
            <w:t>企业品牌申报</w:t>
          </w:r>
          <w:r>
            <w:tab/>
          </w:r>
          <w:r>
            <w:fldChar w:fldCharType="begin"/>
          </w:r>
          <w:r>
            <w:instrText xml:space="preserve"> PAGEREF _Toc4528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3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_Toc9396 </w:instrText>
          </w:r>
          <w:r>
            <w:rPr>
              <w:lang w:val="zh-CN"/>
            </w:rPr>
            <w:fldChar w:fldCharType="separate"/>
          </w:r>
          <w:r>
            <w:rPr>
              <w:bCs/>
              <w:szCs w:val="28"/>
            </w:rPr>
            <w:t xml:space="preserve">3.2.1. </w:t>
          </w:r>
          <w:r>
            <w:rPr>
              <w:rFonts w:hint="eastAsia"/>
              <w:bCs/>
              <w:szCs w:val="28"/>
            </w:rPr>
            <w:t>企业</w:t>
          </w:r>
          <w:r>
            <w:rPr>
              <w:bCs/>
              <w:szCs w:val="28"/>
            </w:rPr>
            <w:t>品牌管理界面</w:t>
          </w:r>
          <w:r>
            <w:tab/>
          </w:r>
          <w:r>
            <w:fldChar w:fldCharType="begin"/>
          </w:r>
          <w:r>
            <w:instrText xml:space="preserve"> PAGEREF _Toc9396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9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_Toc2415 </w:instrText>
          </w:r>
          <w:r>
            <w:rPr>
              <w:lang w:val="zh-CN"/>
            </w:rPr>
            <w:fldChar w:fldCharType="separate"/>
          </w:r>
          <w:r>
            <w:t xml:space="preserve">3.3. </w:t>
          </w:r>
          <w:r>
            <w:rPr>
              <w:rFonts w:hint="eastAsia"/>
            </w:rPr>
            <w:t>产品品牌申报</w:t>
          </w:r>
          <w:r>
            <w:tab/>
          </w:r>
          <w:r>
            <w:fldChar w:fldCharType="begin"/>
          </w:r>
          <w:r>
            <w:instrText xml:space="preserve"> PAGEREF _Toc2415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3"/>
            <w:tabs>
              <w:tab w:val="right" w:leader="dot" w:pos="8844"/>
            </w:tabs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lang w:val="zh-CN"/>
            </w:rPr>
            <w:instrText xml:space="preserve"> HYPERLINK \l _Toc5335 </w:instrText>
          </w:r>
          <w:r>
            <w:rPr>
              <w:lang w:val="zh-CN"/>
            </w:rPr>
            <w:fldChar w:fldCharType="separate"/>
          </w:r>
          <w:r>
            <w:rPr>
              <w:bCs/>
              <w:szCs w:val="28"/>
            </w:rPr>
            <w:t xml:space="preserve">3.3.1. </w:t>
          </w:r>
          <w:r>
            <w:rPr>
              <w:rFonts w:hint="eastAsia"/>
              <w:bCs/>
              <w:szCs w:val="28"/>
            </w:rPr>
            <w:t>产品</w:t>
          </w:r>
          <w:r>
            <w:rPr>
              <w:bCs/>
              <w:szCs w:val="28"/>
            </w:rPr>
            <w:t>品牌管理界面</w:t>
          </w:r>
          <w:r>
            <w:tab/>
          </w:r>
          <w:r>
            <w:fldChar w:fldCharType="begin"/>
          </w:r>
          <w:r>
            <w:instrText xml:space="preserve"> PAGEREF _Toc5335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</w:sdtContent>
    </w:sdt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headerReference r:id="rId6" w:type="first"/>
          <w:footerReference r:id="rId7" w:type="first"/>
          <w:pgSz w:w="11906" w:h="16838"/>
          <w:pgMar w:top="2098" w:right="1474" w:bottom="1985" w:left="1588" w:header="851" w:footer="992" w:gutter="0"/>
          <w:pgNumType w:fmt="upperRoman" w:start="1"/>
          <w:cols w:space="425" w:num="1"/>
          <w:titlePg/>
          <w:docGrid w:type="lines" w:linePitch="326" w:charSpace="0"/>
        </w:sectPr>
      </w:pP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2"/>
        <w:numPr>
          <w:ilvl w:val="0"/>
          <w:numId w:val="2"/>
        </w:numPr>
        <w:spacing w:line="480" w:lineRule="auto"/>
        <w:jc w:val="left"/>
        <w:rPr>
          <w:rFonts w:asciiTheme="minorEastAsia" w:hAnsiTheme="minorEastAsia" w:eastAsiaTheme="minorEastAsia" w:cstheme="minorEastAsia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2649"/>
      <w:r>
        <w:rPr>
          <w:rFonts w:hint="eastAsia" w:asciiTheme="minorEastAsia" w:hAnsiTheme="minorEastAsia" w:eastAsiaTheme="minorEastAsia" w:cstheme="minorEastAsia"/>
          <w:bCs w:val="0"/>
          <w:color w:val="000000" w:themeColor="text1"/>
          <w14:textFill>
            <w14:solidFill>
              <w14:schemeClr w14:val="tx1"/>
            </w14:solidFill>
          </w14:textFill>
        </w:rPr>
        <w:t>用户注册&amp;登录</w:t>
      </w:r>
      <w:bookmarkEnd w:id="0"/>
    </w:p>
    <w:p>
      <w:pPr>
        <w:pStyle w:val="3"/>
        <w:numPr>
          <w:ilvl w:val="1"/>
          <w:numId w:val="2"/>
        </w:numPr>
        <w:spacing w:line="48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Toc5302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用户类型</w:t>
      </w:r>
      <w:bookmarkEnd w:id="1"/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系统主要涉及主体用户、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区级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用户、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市级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用户。</w:t>
      </w:r>
    </w:p>
    <w:p>
      <w:pPr>
        <w:pStyle w:val="35"/>
        <w:numPr>
          <w:ilvl w:val="0"/>
          <w:numId w:val="3"/>
        </w:numPr>
        <w:spacing w:line="360" w:lineRule="auto"/>
        <w:ind w:firstLineChars="0"/>
        <w:rPr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>主体用户</w:t>
      </w:r>
    </w:p>
    <w:p>
      <w:pPr>
        <w:spacing w:line="360" w:lineRule="auto"/>
        <w:ind w:firstLine="480" w:firstLineChars="200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主体用户账号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自行在系统注册界面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注册，注册后需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联系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上级用户(即注册时选择的申报渠道)审核通过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后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才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正常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登录系统。主体用户可以在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市场流通子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系统内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选择区域公用品牌、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企业品牌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产品品牌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类型进行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申报。</w:t>
      </w:r>
    </w:p>
    <w:p>
      <w:pPr>
        <w:spacing w:line="360" w:lineRule="auto"/>
        <w:ind w:firstLine="480" w:firstLineChars="200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125730</wp:posOffset>
            </wp:positionV>
            <wp:extent cx="5274310" cy="2549525"/>
            <wp:effectExtent l="0" t="0" r="2540" b="3175"/>
            <wp:wrapTight wrapText="bothSides">
              <wp:wrapPolygon>
                <wp:start x="0" y="0"/>
                <wp:lineTo x="0" y="21466"/>
                <wp:lineTo x="21532" y="21466"/>
                <wp:lineTo x="21532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5"/>
        <w:numPr>
          <w:ilvl w:val="0"/>
          <w:numId w:val="3"/>
        </w:numPr>
        <w:spacing w:line="360" w:lineRule="auto"/>
        <w:ind w:firstLineChars="0"/>
        <w:rPr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区级</w:t>
      </w:r>
      <w:r>
        <w:rPr>
          <w:rFonts w:hint="eastAsia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>用户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区级账户是指各区农业农村主管部门、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8家行业协（学）会和首农食品集团，可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审核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对应申报渠道的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主体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申报信息，有权退回主体申请并指导其进行修改，账号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由管理员统一分配。</w:t>
      </w:r>
    </w:p>
    <w:p>
      <w:pPr>
        <w:pStyle w:val="35"/>
        <w:numPr>
          <w:ilvl w:val="0"/>
          <w:numId w:val="3"/>
        </w:numPr>
        <w:spacing w:line="360" w:lineRule="auto"/>
        <w:ind w:firstLineChars="0"/>
        <w:rPr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市级</w:t>
      </w:r>
      <w:r>
        <w:rPr>
          <w:rFonts w:hint="eastAsia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用户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市级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用户可以审核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区级账号审核通过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主体申报信息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有权退回主体申请至区级账户并指导其进行修改，账号由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管理员统一分配。</w:t>
      </w:r>
    </w:p>
    <w:p>
      <w:pPr>
        <w:pStyle w:val="3"/>
        <w:numPr>
          <w:ilvl w:val="1"/>
          <w:numId w:val="2"/>
        </w:numPr>
        <w:spacing w:line="48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2" w:name="_Toc20434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用户登录</w:t>
      </w:r>
      <w:bookmarkEnd w:id="2"/>
    </w:p>
    <w:p>
      <w:pPr>
        <w:ind w:left="567"/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登录地址：</w:t>
      </w: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t>h</w:t>
      </w:r>
      <w:r>
        <w:t>ttps://sclt.bjny.org.cn/market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打开“北京市农业农村综合管理平台”输入用户名、密码进行登录。在综合业务入口，点击“市场流通”即可进入市场流通综合管理系统。</w:t>
      </w: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549525"/>
            <wp:effectExtent l="0" t="0" r="0" b="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5"/>
        <w:ind w:firstLine="0" w:firstLineChars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图1.2 用户登录界面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1320800"/>
            <wp:effectExtent l="0" t="0" r="0" b="0"/>
            <wp:docPr id="983306998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06998" name="图片 1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5"/>
        <w:ind w:firstLine="0" w:firstLineChars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图1.3 综合管理平台首页</w:t>
      </w:r>
    </w:p>
    <w:p>
      <w:pPr>
        <w:pStyle w:val="3"/>
        <w:numPr>
          <w:ilvl w:val="1"/>
          <w:numId w:val="2"/>
        </w:numPr>
        <w:spacing w:line="480" w:lineRule="auto"/>
        <w:ind w:left="0" w:firstLine="40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品牌系统界面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市场流通综合管理系统分为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农产品市场监测、农资市场行情监测、农产品品牌建设、农产品产销信息、农产品流通项目、农产品流通渠道6个业务模块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点击“农产品品牌建设”进入系统。</w:t>
      </w:r>
    </w:p>
    <w:p>
      <w:pPr>
        <w:spacing w:line="360" w:lineRule="auto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494915"/>
            <wp:effectExtent l="19050" t="0" r="2540" b="0"/>
            <wp:docPr id="7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5"/>
        <w:ind w:firstLine="0" w:firstLineChars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图1.4 市场流通综合管理系统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首页</w:t>
      </w:r>
    </w:p>
    <w:p>
      <w:pPr>
        <w:pStyle w:val="3"/>
        <w:numPr>
          <w:ilvl w:val="1"/>
          <w:numId w:val="2"/>
        </w:numPr>
        <w:spacing w:line="480" w:lineRule="auto"/>
        <w:ind w:left="0" w:firstLine="402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3" w:name="_Toc12263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退出</w:t>
      </w:r>
      <w:bookmarkEnd w:id="3"/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进入系统点击“退出”可退出登录用户，返回系统登录页面。</w:t>
      </w:r>
    </w:p>
    <w:p>
      <w:pPr>
        <w:pStyle w:val="3"/>
        <w:numPr>
          <w:ilvl w:val="1"/>
          <w:numId w:val="2"/>
        </w:numPr>
        <w:spacing w:line="480" w:lineRule="auto"/>
        <w:ind w:left="0" w:firstLine="402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4" w:name="_Toc14284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返回平台首页</w:t>
      </w:r>
      <w:bookmarkEnd w:id="4"/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点击“返回平台首页”返回综合管理平台首页。</w:t>
      </w:r>
    </w:p>
    <w:p>
      <w:pPr>
        <w:spacing w:line="360" w:lineRule="auto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pStyle w:val="2"/>
        <w:numPr>
          <w:ilvl w:val="0"/>
          <w:numId w:val="2"/>
        </w:numPr>
        <w:spacing w:line="480" w:lineRule="auto"/>
        <w:jc w:val="left"/>
        <w:rPr>
          <w:rFonts w:asciiTheme="minorEastAsia" w:hAnsiTheme="minorEastAsia" w:eastAsiaTheme="minorEastAsia" w:cstheme="minorEastAsia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5" w:name="_Toc3728"/>
      <w:r>
        <w:rPr>
          <w:rFonts w:asciiTheme="minorEastAsia" w:hAnsiTheme="minorEastAsia" w:eastAsiaTheme="minorEastAsia" w:cstheme="minorEastAsia"/>
          <w:bCs w:val="0"/>
          <w:color w:val="000000" w:themeColor="text1"/>
          <w14:textFill>
            <w14:solidFill>
              <w14:schemeClr w14:val="tx1"/>
            </w14:solidFill>
          </w14:textFill>
        </w:rPr>
        <w:t>品牌</w:t>
      </w:r>
      <w:r>
        <w:rPr>
          <w:rFonts w:hint="eastAsia" w:asciiTheme="minorEastAsia" w:hAnsiTheme="minorEastAsia" w:eastAsiaTheme="minorEastAsia" w:cstheme="minorEastAsia"/>
          <w:bCs w:val="0"/>
          <w:color w:val="000000" w:themeColor="text1"/>
          <w14:textFill>
            <w14:solidFill>
              <w14:schemeClr w14:val="tx1"/>
            </w14:solidFill>
          </w14:textFill>
        </w:rPr>
        <w:t>主体</w:t>
      </w:r>
      <w:r>
        <w:rPr>
          <w:rFonts w:asciiTheme="minorEastAsia" w:hAnsiTheme="minorEastAsia" w:eastAsiaTheme="minorEastAsia" w:cstheme="minorEastAsia"/>
          <w:bCs w:val="0"/>
          <w:color w:val="000000" w:themeColor="text1"/>
          <w14:textFill>
            <w14:solidFill>
              <w14:schemeClr w14:val="tx1"/>
            </w14:solidFill>
          </w14:textFill>
        </w:rPr>
        <w:t>管理</w:t>
      </w:r>
      <w:bookmarkEnd w:id="5"/>
    </w:p>
    <w:p>
      <w:pPr>
        <w:spacing w:line="360" w:lineRule="auto"/>
        <w:ind w:firstLine="480" w:firstLineChars="200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在市场流通综合管理系统首页，点击“农产品品牌建设”进入系统。</w:t>
      </w:r>
    </w:p>
    <w:p>
      <w:pPr>
        <w:spacing w:line="360" w:lineRule="auto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57165" cy="2710815"/>
            <wp:effectExtent l="0" t="0" r="635" b="1905"/>
            <wp:docPr id="9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图2.1 市场流通综合管理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系统首页</w:t>
      </w:r>
    </w:p>
    <w:p>
      <w:pPr>
        <w:pStyle w:val="2"/>
        <w:numPr>
          <w:ilvl w:val="0"/>
          <w:numId w:val="2"/>
        </w:numPr>
        <w:spacing w:line="480" w:lineRule="auto"/>
        <w:jc w:val="left"/>
        <w:rPr>
          <w:rFonts w:asciiTheme="minorEastAsia" w:hAnsiTheme="minorEastAsia" w:eastAsiaTheme="minorEastAsia" w:cstheme="minorEastAsia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6" w:name="_Toc13149"/>
      <w:r>
        <w:rPr>
          <w:rFonts w:asciiTheme="minorEastAsia" w:hAnsiTheme="minorEastAsia" w:eastAsiaTheme="minorEastAsia" w:cstheme="minorEastAsia"/>
          <w:bCs w:val="0"/>
          <w:color w:val="000000" w:themeColor="text1"/>
          <w14:textFill>
            <w14:solidFill>
              <w14:schemeClr w14:val="tx1"/>
            </w14:solidFill>
          </w14:textFill>
        </w:rPr>
        <w:t>品牌申报管理</w:t>
      </w:r>
      <w:bookmarkEnd w:id="6"/>
    </w:p>
    <w:p>
      <w:pPr>
        <w:pStyle w:val="3"/>
        <w:numPr>
          <w:ilvl w:val="1"/>
          <w:numId w:val="2"/>
        </w:numPr>
        <w:spacing w:line="480" w:lineRule="auto"/>
        <w:ind w:left="0" w:firstLine="402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7" w:name="_Toc11353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区域公用品牌申报</w:t>
      </w:r>
      <w:bookmarkEnd w:id="7"/>
    </w:p>
    <w:p>
      <w:pPr>
        <w:pStyle w:val="35"/>
        <w:numPr>
          <w:ilvl w:val="2"/>
          <w:numId w:val="2"/>
        </w:numPr>
        <w:spacing w:line="360" w:lineRule="auto"/>
        <w:ind w:left="0" w:firstLine="562"/>
        <w:outlineLvl w:val="2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8" w:name="_Toc8998"/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区域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公用品牌管理界面</w:t>
      </w:r>
      <w:bookmarkEnd w:id="8"/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用户点击申报管理-区域公用品牌申报，进入页面。</w:t>
      </w:r>
    </w:p>
    <w:p>
      <w:pPr>
        <w:spacing w:line="360" w:lineRule="auto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57165" cy="2710815"/>
            <wp:effectExtent l="0" t="0" r="635" b="1905"/>
            <wp:docPr id="10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图3.1 区域公用品牌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管理页面</w:t>
      </w:r>
    </w:p>
    <w:p>
      <w:pPr>
        <w:pStyle w:val="35"/>
        <w:numPr>
          <w:ilvl w:val="0"/>
          <w:numId w:val="4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新增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添加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，可进行品牌的申报。</w:t>
      </w:r>
    </w:p>
    <w:p>
      <w:pPr>
        <w:spacing w:line="360" w:lineRule="auto"/>
        <w:ind w:firstLine="480" w:firstLineChars="200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添加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时会检测是否今年已经填报过“北京优农”品牌（即区域公用品牌，企业品牌，产品品牌三个品牌每年只能选择一个）。</w:t>
      </w:r>
    </w:p>
    <w:p>
      <w:pPr>
        <w:spacing w:line="360" w:lineRule="auto"/>
      </w:pPr>
      <w:r>
        <w:drawing>
          <wp:inline distT="0" distB="0" distL="114300" distR="114300">
            <wp:extent cx="5257165" cy="2710815"/>
            <wp:effectExtent l="0" t="0" r="635" b="1905"/>
            <wp:docPr id="11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图3.2 区域公用品牌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新增界面</w:t>
      </w:r>
    </w:p>
    <w:p>
      <w:pPr>
        <w:spacing w:line="360" w:lineRule="auto"/>
        <w:rPr>
          <w:rFonts w:hint="eastAsia"/>
        </w:rPr>
      </w:pP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6690" cy="2636520"/>
            <wp:effectExtent l="0" t="0" r="6350" b="0"/>
            <wp:docPr id="14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区域公用品牌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新增界面</w:t>
      </w:r>
    </w:p>
    <w:p>
      <w:pPr>
        <w:jc w:val="center"/>
      </w:pPr>
      <w:r>
        <w:drawing>
          <wp:inline distT="0" distB="0" distL="114300" distR="114300">
            <wp:extent cx="5266690" cy="2636520"/>
            <wp:effectExtent l="0" t="0" r="6350" b="0"/>
            <wp:docPr id="15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只能选择一个上报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提示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界面</w:t>
      </w:r>
    </w:p>
    <w:p>
      <w:pPr>
        <w:jc w:val="center"/>
        <w:rPr>
          <w:rFonts w:hint="eastAsia"/>
        </w:rPr>
      </w:pP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添加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界面填报时，点击下一步即可到达下一个填报模块（基本条件、品牌竞争力、品牌</w:t>
      </w:r>
      <w:r>
        <w:rPr>
          <w:rFonts w:hint="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保障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力、品牌影响力、品牌带动力），基本条件模块带红色星号的需要填写完毕才可以点击下一步，因为需要先保存基本信息，其他模块无要求，可直接点击下一步。</w:t>
      </w:r>
    </w:p>
    <w:p>
      <w:pPr>
        <w:pStyle w:val="35"/>
        <w:numPr>
          <w:ilvl w:val="0"/>
          <w:numId w:val="4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修改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在管理界面点击修改可以进入修改界面。</w:t>
      </w:r>
    </w:p>
    <w:p>
      <w:pPr>
        <w:pStyle w:val="35"/>
        <w:spacing w:before="156" w:beforeLines="50" w:after="156" w:afterLines="50"/>
        <w:ind w:firstLine="0" w:firstLineChars="0"/>
        <w:rPr>
          <w:spacing w:val="-2"/>
        </w:rPr>
      </w:pPr>
      <w:r>
        <w:drawing>
          <wp:inline distT="0" distB="0" distL="114300" distR="114300">
            <wp:extent cx="5266690" cy="2636520"/>
            <wp:effectExtent l="0" t="0" r="6350" b="0"/>
            <wp:docPr id="16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pacing w:val="-2"/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区域公用品牌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修改界面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修改时，已上传附件的填报项后面会显示查看附件，其他的与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添加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时一致。</w:t>
      </w:r>
    </w:p>
    <w:p>
      <w:pPr>
        <w:pStyle w:val="35"/>
        <w:ind w:left="420" w:firstLine="0" w:firstLineChars="0"/>
        <w:rPr>
          <w:spacing w:val="-2"/>
        </w:rPr>
      </w:pPr>
    </w:p>
    <w:p>
      <w:pPr>
        <w:pStyle w:val="35"/>
        <w:numPr>
          <w:ilvl w:val="0"/>
          <w:numId w:val="4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预览</w:t>
      </w:r>
    </w:p>
    <w:p>
      <w:pPr>
        <w:pStyle w:val="35"/>
        <w:numPr>
          <w:ilvl w:val="0"/>
          <w:numId w:val="0"/>
        </w:numPr>
        <w:spacing w:before="156" w:beforeLines="50" w:after="156" w:afterLines="50"/>
        <w:ind w:leftChars="0"/>
      </w:pPr>
      <w:r>
        <w:drawing>
          <wp:inline distT="0" distB="0" distL="114300" distR="114300">
            <wp:extent cx="5266690" cy="2701925"/>
            <wp:effectExtent l="0" t="0" r="6350" b="10795"/>
            <wp:docPr id="12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pacing w:val="-2"/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区域公用品牌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点击预览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界面</w:t>
      </w:r>
    </w:p>
    <w:p>
      <w:pPr>
        <w:pStyle w:val="35"/>
        <w:numPr>
          <w:ilvl w:val="0"/>
          <w:numId w:val="0"/>
        </w:numPr>
        <w:spacing w:before="156" w:beforeLines="50" w:after="156" w:afterLines="50"/>
        <w:ind w:leftChars="0"/>
      </w:pPr>
    </w:p>
    <w:p>
      <w:pPr>
        <w:pStyle w:val="35"/>
        <w:numPr>
          <w:ilvl w:val="0"/>
          <w:numId w:val="0"/>
        </w:numPr>
        <w:spacing w:before="156" w:beforeLines="50" w:after="156" w:afterLines="50"/>
        <w:ind w:leftChars="0"/>
      </w:pPr>
      <w:r>
        <w:drawing>
          <wp:inline distT="0" distB="0" distL="114300" distR="114300">
            <wp:extent cx="5266690" cy="2701925"/>
            <wp:effectExtent l="0" t="0" r="6350" b="10795"/>
            <wp:docPr id="13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pacing w:val="-2"/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区域公用品牌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预览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界面</w:t>
      </w:r>
    </w:p>
    <w:p>
      <w:pPr>
        <w:pStyle w:val="35"/>
        <w:numPr>
          <w:ilvl w:val="0"/>
          <w:numId w:val="0"/>
        </w:numPr>
        <w:spacing w:before="156" w:beforeLines="50" w:after="156" w:afterLines="50"/>
        <w:ind w:leftChars="0"/>
      </w:pP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预览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，可以查看信息详情，可以导出查看已上传的附件。</w:t>
      </w:r>
    </w:p>
    <w:p>
      <w:pPr>
        <w:pStyle w:val="35"/>
        <w:numPr>
          <w:ilvl w:val="0"/>
          <w:numId w:val="4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导出报告、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导出附件---需要市级审核之后才可以导出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点击导出报告可以将您申报的信息导出为不可编辑的word文档以便您提交材料使用。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点击导出附件可以导出您填报时上传的所有附件（只会导出每一项最后一次</w:t>
      </w: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t>上报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的附件，例如，信用记录上传了三次附件，只会保留最后一次上传的附件）。</w:t>
      </w:r>
    </w:p>
    <w:p>
      <w:pPr>
        <w:pStyle w:val="35"/>
        <w:numPr>
          <w:ilvl w:val="0"/>
          <w:numId w:val="4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上报</w:t>
      </w:r>
    </w:p>
    <w:p>
      <w:pPr>
        <w:pStyle w:val="35"/>
        <w:widowControl w:val="0"/>
        <w:numPr>
          <w:ilvl w:val="0"/>
          <w:numId w:val="0"/>
        </w:numPr>
        <w:spacing w:before="156" w:beforeLines="50" w:after="156" w:afterLines="50"/>
        <w:ind w:firstLine="720" w:firstLineChars="300"/>
        <w:jc w:val="both"/>
        <w:rPr>
          <w:rFonts w:hint="default" w:eastAsia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上报进入上报页面</w:t>
      </w:r>
    </w:p>
    <w:p>
      <w:pPr>
        <w:spacing w:before="156" w:beforeLines="50" w:after="156" w:afterLines="5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6690" cy="2701925"/>
            <wp:effectExtent l="0" t="0" r="6350" b="10795"/>
            <wp:docPr id="17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区域公用品牌上报界面</w:t>
      </w:r>
    </w:p>
    <w:p>
      <w:pPr>
        <w:jc w:val="both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5"/>
        <w:numPr>
          <w:ilvl w:val="0"/>
          <w:numId w:val="4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删除</w:t>
      </w:r>
    </w:p>
    <w:p>
      <w:pPr>
        <w:pStyle w:val="35"/>
        <w:widowControl w:val="0"/>
        <w:numPr>
          <w:ilvl w:val="0"/>
          <w:numId w:val="0"/>
        </w:numPr>
        <w:spacing w:before="156" w:beforeLines="50" w:after="156" w:afterLines="50"/>
        <w:ind w:firstLine="480" w:firstLineChars="200"/>
        <w:jc w:val="both"/>
        <w:rPr>
          <w:rFonts w:hint="default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点击删除该信息将被删除</w:t>
      </w:r>
    </w:p>
    <w:p>
      <w:pPr>
        <w:pStyle w:val="35"/>
        <w:numPr>
          <w:ilvl w:val="0"/>
          <w:numId w:val="0"/>
        </w:numPr>
        <w:spacing w:before="156" w:beforeLines="50" w:after="156" w:afterLines="50"/>
        <w:ind w:leftChars="0"/>
      </w:pPr>
      <w:r>
        <w:drawing>
          <wp:inline distT="0" distB="0" distL="114300" distR="114300">
            <wp:extent cx="5257165" cy="2710815"/>
            <wp:effectExtent l="0" t="0" r="635" b="1905"/>
            <wp:docPr id="21" name="图片 1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区域公用品牌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删除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界面</w:t>
      </w:r>
    </w:p>
    <w:p>
      <w:pPr>
        <w:pStyle w:val="35"/>
        <w:numPr>
          <w:ilvl w:val="0"/>
          <w:numId w:val="0"/>
        </w:numPr>
        <w:spacing w:before="156" w:beforeLines="50" w:after="156" w:afterLines="50"/>
        <w:ind w:leftChars="0"/>
      </w:pP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numPr>
          <w:ilvl w:val="1"/>
          <w:numId w:val="2"/>
        </w:numPr>
        <w:spacing w:line="480" w:lineRule="auto"/>
        <w:ind w:left="0" w:firstLine="402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9" w:name="_Toc4528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企业品牌申报</w:t>
      </w:r>
      <w:bookmarkEnd w:id="9"/>
    </w:p>
    <w:p>
      <w:pPr>
        <w:pStyle w:val="35"/>
        <w:numPr>
          <w:ilvl w:val="2"/>
          <w:numId w:val="2"/>
        </w:numPr>
        <w:spacing w:line="360" w:lineRule="auto"/>
        <w:ind w:left="0" w:firstLine="562"/>
        <w:outlineLvl w:val="2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0" w:name="_Toc9396"/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企业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品牌管理界面</w:t>
      </w:r>
      <w:bookmarkEnd w:id="10"/>
    </w:p>
    <w:p>
      <w:pPr>
        <w:spacing w:line="360" w:lineRule="auto"/>
        <w:ind w:firstLine="480" w:firstLineChars="200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用户点击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管理-企业品牌申报，进入页面。</w:t>
      </w:r>
    </w:p>
    <w:p>
      <w:pPr>
        <w:spacing w:line="360" w:lineRule="auto"/>
        <w:ind w:firstLine="480" w:firstLineChars="200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6690" cy="2636520"/>
            <wp:effectExtent l="0" t="0" r="6350" b="0"/>
            <wp:docPr id="18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企业品牌申报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管理页面</w:t>
      </w:r>
    </w:p>
    <w:p>
      <w:pPr>
        <w:jc w:val="center"/>
      </w:pPr>
      <w:r>
        <w:drawing>
          <wp:inline distT="0" distB="0" distL="114300" distR="114300">
            <wp:extent cx="5266690" cy="2636520"/>
            <wp:effectExtent l="0" t="0" r="6350" b="0"/>
            <wp:docPr id="20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企业品牌申报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管理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添加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页面</w:t>
      </w:r>
    </w:p>
    <w:p>
      <w:pPr>
        <w:jc w:val="center"/>
        <w:rPr>
          <w:rFonts w:hint="eastAsia"/>
        </w:rPr>
      </w:pPr>
    </w:p>
    <w:p>
      <w:pPr>
        <w:jc w:val="center"/>
      </w:pPr>
      <w:r>
        <w:drawing>
          <wp:inline distT="0" distB="0" distL="114300" distR="114300">
            <wp:extent cx="5257165" cy="2710815"/>
            <wp:effectExtent l="0" t="0" r="635" b="1905"/>
            <wp:docPr id="22" name="图片 1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企业品牌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添加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页面</w:t>
      </w:r>
    </w:p>
    <w:p>
      <w:pPr>
        <w:jc w:val="center"/>
        <w:rPr>
          <w:rFonts w:hint="eastAsia"/>
          <w:b/>
          <w:bCs/>
        </w:rPr>
      </w:pPr>
    </w:p>
    <w:p>
      <w:pPr>
        <w:pStyle w:val="35"/>
        <w:numPr>
          <w:ilvl w:val="0"/>
          <w:numId w:val="5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审核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在管理界面点击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上报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可以进入审核界面</w:t>
      </w:r>
    </w:p>
    <w:p>
      <w:pPr>
        <w:pStyle w:val="35"/>
        <w:spacing w:before="156" w:beforeLines="50" w:after="156" w:afterLines="50"/>
        <w:ind w:firstLine="0" w:firstLineChars="0"/>
        <w:rPr>
          <w:spacing w:val="-2"/>
        </w:rPr>
      </w:pPr>
      <w:r>
        <w:drawing>
          <wp:inline distT="0" distB="0" distL="114300" distR="114300">
            <wp:extent cx="5266690" cy="2636520"/>
            <wp:effectExtent l="0" t="0" r="6350" b="0"/>
            <wp:docPr id="27" name="图片 1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pacing w:val="-2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企业品牌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审核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界面</w:t>
      </w:r>
    </w:p>
    <w:p>
      <w:pPr>
        <w:pStyle w:val="35"/>
        <w:numPr>
          <w:ilvl w:val="0"/>
          <w:numId w:val="5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查看</w:t>
      </w:r>
    </w:p>
    <w:p>
      <w:pPr>
        <w:spacing w:line="360" w:lineRule="auto"/>
        <w:ind w:firstLine="480" w:firstLineChars="200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点击查看，可以查看信息详情，可以导出查看已上传的附件。</w:t>
      </w:r>
    </w:p>
    <w:p>
      <w:pPr>
        <w:spacing w:line="360" w:lineRule="auto"/>
        <w:ind w:firstLine="480" w:firstLineChars="200"/>
      </w:pPr>
      <w:r>
        <w:drawing>
          <wp:inline distT="0" distB="0" distL="114300" distR="114300">
            <wp:extent cx="5257165" cy="2710815"/>
            <wp:effectExtent l="0" t="0" r="635" b="1905"/>
            <wp:docPr id="23" name="图片 1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pacing w:val="-2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企业品牌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预览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界面</w:t>
      </w:r>
    </w:p>
    <w:p>
      <w:pPr>
        <w:spacing w:line="360" w:lineRule="auto"/>
        <w:ind w:firstLine="480" w:firstLineChars="200"/>
        <w:rPr>
          <w:rFonts w:hint="eastAsia"/>
        </w:rPr>
      </w:pPr>
    </w:p>
    <w:p>
      <w:pPr>
        <w:pStyle w:val="35"/>
        <w:numPr>
          <w:ilvl w:val="0"/>
          <w:numId w:val="5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导出报告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点击导出报告可以将您申报的信息导出为不可编辑的word文档以便您提交材料使用。</w:t>
      </w:r>
    </w:p>
    <w:p>
      <w:pPr>
        <w:pStyle w:val="3"/>
        <w:numPr>
          <w:ilvl w:val="1"/>
          <w:numId w:val="2"/>
        </w:numPr>
        <w:spacing w:line="480" w:lineRule="auto"/>
        <w:ind w:left="0" w:firstLine="402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1" w:name="_Toc2415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产品品牌申报</w:t>
      </w:r>
      <w:bookmarkEnd w:id="11"/>
    </w:p>
    <w:p>
      <w:pPr>
        <w:pStyle w:val="35"/>
        <w:numPr>
          <w:ilvl w:val="2"/>
          <w:numId w:val="2"/>
        </w:numPr>
        <w:spacing w:line="360" w:lineRule="auto"/>
        <w:ind w:left="0" w:firstLine="562"/>
        <w:outlineLvl w:val="2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2" w:name="_Toc5335"/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产品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品牌管理界面</w:t>
      </w:r>
      <w:bookmarkEnd w:id="12"/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用户点击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管理-产品品牌申报，进入页面。</w:t>
      </w:r>
    </w:p>
    <w:p>
      <w:pPr>
        <w:spacing w:line="360" w:lineRule="auto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57165" cy="2710815"/>
            <wp:effectExtent l="0" t="0" r="635" b="1905"/>
            <wp:docPr id="26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产品品牌申报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管理页面</w:t>
      </w:r>
    </w:p>
    <w:p>
      <w:pPr>
        <w:jc w:val="center"/>
      </w:pPr>
      <w:r>
        <w:drawing>
          <wp:inline distT="0" distB="0" distL="114300" distR="114300">
            <wp:extent cx="5266690" cy="2636520"/>
            <wp:effectExtent l="0" t="0" r="6350" b="0"/>
            <wp:docPr id="24" name="图片 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产品品牌申报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添加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页面</w:t>
      </w:r>
    </w:p>
    <w:p>
      <w:pPr>
        <w:jc w:val="center"/>
        <w:rPr>
          <w:rFonts w:hint="eastAsia"/>
        </w:rPr>
      </w:pPr>
    </w:p>
    <w:p>
      <w:pPr>
        <w:pStyle w:val="35"/>
        <w:numPr>
          <w:ilvl w:val="0"/>
          <w:numId w:val="5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审核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在管理界面点击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上报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可以进入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上报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界面</w:t>
      </w:r>
    </w:p>
    <w:p>
      <w:pPr>
        <w:pStyle w:val="35"/>
        <w:spacing w:before="156" w:beforeLines="50" w:after="156" w:afterLines="50"/>
        <w:ind w:firstLine="0" w:firstLineChars="0"/>
        <w:rPr>
          <w:spacing w:val="-2"/>
        </w:rPr>
      </w:pPr>
      <w:r>
        <w:drawing>
          <wp:inline distT="0" distB="0" distL="114300" distR="114300">
            <wp:extent cx="5266690" cy="2636520"/>
            <wp:effectExtent l="0" t="0" r="6350" b="0"/>
            <wp:docPr id="25" name="图片 1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pacing w:val="-2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产品品牌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上报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界面</w:t>
      </w:r>
    </w:p>
    <w:p>
      <w:pPr>
        <w:pStyle w:val="35"/>
        <w:numPr>
          <w:ilvl w:val="0"/>
          <w:numId w:val="5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查看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点击查看，可以查看信息详情，可以导出查看已上传的附件。</w:t>
      </w:r>
    </w:p>
    <w:p>
      <w:pPr>
        <w:pStyle w:val="35"/>
        <w:numPr>
          <w:ilvl w:val="0"/>
          <w:numId w:val="5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导出报告</w:t>
      </w:r>
    </w:p>
    <w:p>
      <w:pPr>
        <w:spacing w:line="360" w:lineRule="auto"/>
        <w:ind w:firstLine="480" w:firstLineChars="200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点击导出报告可以将您申报的信息导出为不可编辑的word文档以便提交材料使用。</w:t>
      </w:r>
    </w:p>
    <w:p>
      <w:pPr>
        <w:pStyle w:val="35"/>
        <w:numPr>
          <w:ilvl w:val="0"/>
          <w:numId w:val="5"/>
        </w:numPr>
        <w:spacing w:before="156" w:beforeLines="50" w:after="156" w:afterLines="50"/>
        <w:ind w:left="442" w:hanging="442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审核记录</w:t>
      </w:r>
    </w:p>
    <w:p>
      <w:pPr>
        <w:pStyle w:val="35"/>
        <w:widowControl w:val="0"/>
        <w:numPr>
          <w:ilvl w:val="0"/>
          <w:numId w:val="0"/>
        </w:numPr>
        <w:spacing w:before="156" w:beforeLines="50" w:after="156" w:afterLines="50"/>
        <w:jc w:val="both"/>
        <w:rPr>
          <w:rFonts w:hint="eastAsia" w:eastAsia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5"/>
        <w:widowControl w:val="0"/>
        <w:numPr>
          <w:ilvl w:val="0"/>
          <w:numId w:val="0"/>
        </w:numPr>
        <w:spacing w:before="156" w:beforeLines="50" w:after="156" w:afterLines="50"/>
        <w:ind w:firstLine="480" w:firstLineChars="200"/>
        <w:jc w:val="both"/>
        <w:rPr>
          <w:rFonts w:hint="default" w:ascii="Calibri" w:hAnsi="Calibri" w:eastAsia="宋体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宋体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上报后</w:t>
      </w:r>
      <w:r>
        <w:rPr>
          <w:rFonts w:hint="eastAsia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，点击审核记录</w:t>
      </w:r>
      <w:r>
        <w:rPr>
          <w:rFonts w:hint="eastAsia" w:ascii="Calibri" w:hAnsi="Calibri" w:eastAsia="宋体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可查看审核记录</w:t>
      </w:r>
    </w:p>
    <w:p>
      <w:pPr>
        <w:pStyle w:val="35"/>
        <w:widowControl w:val="0"/>
        <w:numPr>
          <w:ilvl w:val="0"/>
          <w:numId w:val="0"/>
        </w:numPr>
        <w:spacing w:before="156" w:beforeLines="50" w:after="156" w:afterLines="50"/>
        <w:jc w:val="both"/>
      </w:pPr>
      <w:r>
        <w:drawing>
          <wp:inline distT="0" distB="0" distL="114300" distR="114300">
            <wp:extent cx="5266690" cy="2701925"/>
            <wp:effectExtent l="0" t="0" r="6350" b="10795"/>
            <wp:docPr id="3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图3.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产品品牌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审核</w:t>
      </w:r>
      <w:r>
        <w:rPr>
          <w:rFonts w:hint="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记录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界面</w:t>
      </w:r>
    </w:p>
    <w:p>
      <w:pPr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2"/>
        </w:numPr>
        <w:ind w:left="425" w:leftChars="0" w:hanging="425" w:firstLineChars="0"/>
        <w:jc w:val="left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系统技术咨询</w:t>
      </w:r>
    </w:p>
    <w:p>
      <w:pPr>
        <w:jc w:val="both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5"/>
        <w:spacing w:before="156" w:beforeLines="50" w:after="156" w:afterLines="50"/>
        <w:ind w:left="442" w:firstLine="0" w:firstLineChars="0"/>
        <w:rPr>
          <w:rFonts w:hint="default" w:ascii="Calibri" w:hAnsi="Calibri" w:eastAsia="宋体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宋体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联系人：王兴宇 联系电话：13264339758（微信同号）</w:t>
      </w:r>
    </w:p>
    <w:p>
      <w:pPr>
        <w:rPr>
          <w:rFonts w:hint="eastAsia" w:eastAsia="宋体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bookmarkStart w:id="13" w:name="_GoBack"/>
      <w:bookmarkEnd w:id="13"/>
      <w:r>
        <w:rPr>
          <w:rFonts w:hint="eastAsia" w:eastAsia="宋体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59055</wp:posOffset>
            </wp:positionV>
            <wp:extent cx="2386965" cy="3434080"/>
            <wp:effectExtent l="0" t="0" r="13335" b="13970"/>
            <wp:wrapNone/>
            <wp:docPr id="8" name="图片 8" descr="3a49161214951cfc24945688a19371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a49161214951cfc24945688a193718"/>
                    <pic:cNvPicPr>
                      <a:picLocks noChangeAspect="true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left="960"/>
      <w:jc w:val="center"/>
      <w:rPr>
        <w:sz w:val="24"/>
        <w:szCs w:val="40"/>
      </w:rPr>
    </w:pPr>
    <w:r>
      <w:rPr>
        <w:sz w:val="24"/>
        <w:szCs w:val="40"/>
      </w:rPr>
      <w:fldChar w:fldCharType="begin"/>
    </w:r>
    <w:r>
      <w:rPr>
        <w:sz w:val="24"/>
        <w:szCs w:val="40"/>
      </w:rPr>
      <w:instrText xml:space="preserve"> PAGE  \* MERGEFORMAT </w:instrText>
    </w:r>
    <w:r>
      <w:rPr>
        <w:sz w:val="24"/>
        <w:szCs w:val="40"/>
      </w:rPr>
      <w:fldChar w:fldCharType="separate"/>
    </w:r>
    <w:r>
      <w:rPr>
        <w:sz w:val="24"/>
        <w:szCs w:val="40"/>
      </w:rPr>
      <w:t>2</w:t>
    </w:r>
    <w:r>
      <w:rPr>
        <w:sz w:val="24"/>
        <w:szCs w:val="4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left="960"/>
      <w:jc w:val="center"/>
      <w:rPr>
        <w:sz w:val="24"/>
        <w:szCs w:val="40"/>
      </w:rPr>
    </w:pPr>
    <w:r>
      <w:rPr>
        <w:sz w:val="24"/>
        <w:szCs w:val="40"/>
      </w:rPr>
      <w:fldChar w:fldCharType="begin"/>
    </w:r>
    <w:r>
      <w:rPr>
        <w:sz w:val="24"/>
        <w:szCs w:val="40"/>
      </w:rPr>
      <w:instrText xml:space="preserve"> PAGE  \* MERGEFORMAT </w:instrText>
    </w:r>
    <w:r>
      <w:rPr>
        <w:sz w:val="24"/>
        <w:szCs w:val="40"/>
      </w:rPr>
      <w:fldChar w:fldCharType="separate"/>
    </w:r>
    <w:r>
      <w:rPr>
        <w:sz w:val="24"/>
        <w:szCs w:val="40"/>
      </w:rPr>
      <w:t>I</w:t>
    </w:r>
    <w:r>
      <w:rPr>
        <w:sz w:val="24"/>
        <w:szCs w:val="4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7"/>
      <w:spacing w:before="120" w:after="120"/>
      <w:rPr>
        <w:color w:val="000000" w:themeColor="text1"/>
        <w14:textFill>
          <w14:solidFill>
            <w14:schemeClr w14:val="tx1"/>
          </w14:solidFill>
        </w14:textFill>
      </w:rPr>
    </w:pPr>
    <w:r>
      <w:rPr>
        <w:color w:val="000000" w:themeColor="text1"/>
        <w14:textFill>
          <w14:solidFill>
            <w14:schemeClr w14:val="tx1"/>
          </w14:solidFill>
        </w14:textFill>
      </w:rPr>
      <w:drawing>
        <wp:inline distT="0" distB="0" distL="114300" distR="114300">
          <wp:extent cx="366395" cy="304165"/>
          <wp:effectExtent l="0" t="0" r="14605" b="635"/>
          <wp:docPr id="4" name="图片 3" descr="AKLE@19])[J[]XZT]M44AJA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AKLE@19])[J[]XZT]M44AJA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6395" cy="30416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>市场流通综合管理系统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t>—</w:t>
    </w:r>
    <w:r>
      <w:rPr>
        <w:rFonts w:hint="eastAsia"/>
      </w:rPr>
      <w:t>农产品品牌建设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t>【申报主体用户使用手册】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7"/>
      <w:pBdr>
        <w:bottom w:val="none" w:color="auto" w:sz="0" w:space="1"/>
      </w:pBdr>
      <w:spacing w:before="120" w:after="120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7"/>
      <w:spacing w:before="120" w:after="120"/>
      <w:rPr>
        <w:color w:val="000000" w:themeColor="text1"/>
        <w14:textFill>
          <w14:solidFill>
            <w14:schemeClr w14:val="tx1"/>
          </w14:solidFill>
        </w14:textFill>
      </w:rPr>
    </w:pPr>
    <w:r>
      <w:rPr>
        <w:color w:val="000000" w:themeColor="text1"/>
        <w14:textFill>
          <w14:solidFill>
            <w14:schemeClr w14:val="tx1"/>
          </w14:solidFill>
        </w14:textFill>
      </w:rPr>
      <w:drawing>
        <wp:inline distT="0" distB="0" distL="114300" distR="114300">
          <wp:extent cx="366395" cy="304165"/>
          <wp:effectExtent l="0" t="0" r="14605" b="635"/>
          <wp:docPr id="5" name="图片 3" descr="AKLE@19])[J[]XZT]M44AJA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 descr="AKLE@19])[J[]XZT]M44AJA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6395" cy="30416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>市场流通综合管理系统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t>———</w:t>
    </w:r>
    <w:r>
      <w:rPr>
        <w:rFonts w:hint="eastAsia"/>
      </w:rPr>
      <w:t>农产品品牌建设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t>【申报主体用户使用手册】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8A0F7A"/>
    <w:multiLevelType w:val="multilevel"/>
    <w:tmpl w:val="838A0F7A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0AF08D7"/>
    <w:multiLevelType w:val="multilevel"/>
    <w:tmpl w:val="20AF08D7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217070D"/>
    <w:multiLevelType w:val="multilevel"/>
    <w:tmpl w:val="2217070D"/>
    <w:lvl w:ilvl="0" w:tentative="0">
      <w:start w:val="1"/>
      <w:numFmt w:val="decimal"/>
      <w:lvlText w:val="%1)"/>
      <w:lvlJc w:val="left"/>
      <w:pPr>
        <w:ind w:left="922" w:hanging="440"/>
      </w:pPr>
    </w:lvl>
    <w:lvl w:ilvl="1" w:tentative="0">
      <w:start w:val="1"/>
      <w:numFmt w:val="lowerLetter"/>
      <w:lvlText w:val="%2)"/>
      <w:lvlJc w:val="left"/>
      <w:pPr>
        <w:ind w:left="1362" w:hanging="440"/>
      </w:pPr>
    </w:lvl>
    <w:lvl w:ilvl="2" w:tentative="0">
      <w:start w:val="1"/>
      <w:numFmt w:val="lowerRoman"/>
      <w:lvlText w:val="%3."/>
      <w:lvlJc w:val="right"/>
      <w:pPr>
        <w:ind w:left="1802" w:hanging="440"/>
      </w:pPr>
    </w:lvl>
    <w:lvl w:ilvl="3" w:tentative="0">
      <w:start w:val="1"/>
      <w:numFmt w:val="decimal"/>
      <w:lvlText w:val="%4."/>
      <w:lvlJc w:val="left"/>
      <w:pPr>
        <w:ind w:left="2242" w:hanging="440"/>
      </w:pPr>
    </w:lvl>
    <w:lvl w:ilvl="4" w:tentative="0">
      <w:start w:val="1"/>
      <w:numFmt w:val="lowerLetter"/>
      <w:lvlText w:val="%5)"/>
      <w:lvlJc w:val="left"/>
      <w:pPr>
        <w:ind w:left="2682" w:hanging="440"/>
      </w:pPr>
    </w:lvl>
    <w:lvl w:ilvl="5" w:tentative="0">
      <w:start w:val="1"/>
      <w:numFmt w:val="lowerRoman"/>
      <w:lvlText w:val="%6."/>
      <w:lvlJc w:val="right"/>
      <w:pPr>
        <w:ind w:left="3122" w:hanging="440"/>
      </w:pPr>
    </w:lvl>
    <w:lvl w:ilvl="6" w:tentative="0">
      <w:start w:val="1"/>
      <w:numFmt w:val="decimal"/>
      <w:lvlText w:val="%7."/>
      <w:lvlJc w:val="left"/>
      <w:pPr>
        <w:ind w:left="3562" w:hanging="440"/>
      </w:pPr>
    </w:lvl>
    <w:lvl w:ilvl="7" w:tentative="0">
      <w:start w:val="1"/>
      <w:numFmt w:val="lowerLetter"/>
      <w:lvlText w:val="%8)"/>
      <w:lvlJc w:val="left"/>
      <w:pPr>
        <w:ind w:left="4002" w:hanging="440"/>
      </w:pPr>
    </w:lvl>
    <w:lvl w:ilvl="8" w:tentative="0">
      <w:start w:val="1"/>
      <w:numFmt w:val="lowerRoman"/>
      <w:lvlText w:val="%9."/>
      <w:lvlJc w:val="right"/>
      <w:pPr>
        <w:ind w:left="4442" w:hanging="440"/>
      </w:pPr>
    </w:lvl>
  </w:abstractNum>
  <w:abstractNum w:abstractNumId="3">
    <w:nsid w:val="55167861"/>
    <w:multiLevelType w:val="multilevel"/>
    <w:tmpl w:val="55167861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4">
    <w:nsid w:val="777D4A9F"/>
    <w:multiLevelType w:val="multilevel"/>
    <w:tmpl w:val="777D4A9F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9B"/>
    <w:rsid w:val="00054D68"/>
    <w:rsid w:val="000A7438"/>
    <w:rsid w:val="0019080A"/>
    <w:rsid w:val="001A1583"/>
    <w:rsid w:val="00272DEB"/>
    <w:rsid w:val="002824B5"/>
    <w:rsid w:val="002831B7"/>
    <w:rsid w:val="002B0DB3"/>
    <w:rsid w:val="00302A11"/>
    <w:rsid w:val="00350C8E"/>
    <w:rsid w:val="00365480"/>
    <w:rsid w:val="003661AF"/>
    <w:rsid w:val="003C02F1"/>
    <w:rsid w:val="003D0F74"/>
    <w:rsid w:val="00454E8A"/>
    <w:rsid w:val="00466533"/>
    <w:rsid w:val="004F0B8C"/>
    <w:rsid w:val="005342E4"/>
    <w:rsid w:val="00582100"/>
    <w:rsid w:val="00583DD5"/>
    <w:rsid w:val="005B3958"/>
    <w:rsid w:val="005E3256"/>
    <w:rsid w:val="0066312B"/>
    <w:rsid w:val="00721D9B"/>
    <w:rsid w:val="0073310B"/>
    <w:rsid w:val="00773919"/>
    <w:rsid w:val="00790FB9"/>
    <w:rsid w:val="007E380A"/>
    <w:rsid w:val="007F5B19"/>
    <w:rsid w:val="007F5FD0"/>
    <w:rsid w:val="00825615"/>
    <w:rsid w:val="0083486F"/>
    <w:rsid w:val="00873312"/>
    <w:rsid w:val="00894736"/>
    <w:rsid w:val="008C13B7"/>
    <w:rsid w:val="00923B4D"/>
    <w:rsid w:val="0099649E"/>
    <w:rsid w:val="00A952FE"/>
    <w:rsid w:val="00AA5109"/>
    <w:rsid w:val="00AB1818"/>
    <w:rsid w:val="00B15C67"/>
    <w:rsid w:val="00B36052"/>
    <w:rsid w:val="00B45F05"/>
    <w:rsid w:val="00B84592"/>
    <w:rsid w:val="00BD2074"/>
    <w:rsid w:val="00BE14D3"/>
    <w:rsid w:val="00C337C2"/>
    <w:rsid w:val="00C54672"/>
    <w:rsid w:val="00C65403"/>
    <w:rsid w:val="00D46753"/>
    <w:rsid w:val="00D47B91"/>
    <w:rsid w:val="00D82A5E"/>
    <w:rsid w:val="00E43659"/>
    <w:rsid w:val="00E67349"/>
    <w:rsid w:val="00ED519F"/>
    <w:rsid w:val="00F52243"/>
    <w:rsid w:val="00F93B13"/>
    <w:rsid w:val="00FA711F"/>
    <w:rsid w:val="00FB158D"/>
    <w:rsid w:val="059B5141"/>
    <w:rsid w:val="09E87633"/>
    <w:rsid w:val="0BC72D2E"/>
    <w:rsid w:val="0BD51351"/>
    <w:rsid w:val="26F80BC6"/>
    <w:rsid w:val="2C7E1994"/>
    <w:rsid w:val="31432F0D"/>
    <w:rsid w:val="33462B51"/>
    <w:rsid w:val="34A07F53"/>
    <w:rsid w:val="440A5E99"/>
    <w:rsid w:val="48174852"/>
    <w:rsid w:val="5CBE7F84"/>
    <w:rsid w:val="5F29DF0B"/>
    <w:rsid w:val="61471F1F"/>
    <w:rsid w:val="66621C11"/>
    <w:rsid w:val="6BAF7387"/>
    <w:rsid w:val="6EE81F54"/>
    <w:rsid w:val="6F16009E"/>
    <w:rsid w:val="6FBDF566"/>
    <w:rsid w:val="77FEBDFA"/>
    <w:rsid w:val="7DB67608"/>
    <w:rsid w:val="9FA50BB9"/>
    <w:rsid w:val="DEBFCAC1"/>
    <w:rsid w:val="EBDBA2FB"/>
    <w:rsid w:val="EBFDEE6D"/>
    <w:rsid w:val="FFD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9"/>
    <w:unhideWhenUsed/>
    <w:qFormat/>
    <w:uiPriority w:val="9"/>
    <w:pPr>
      <w:keepNext/>
      <w:keepLines/>
      <w:numPr>
        <w:ilvl w:val="3"/>
        <w:numId w:val="1"/>
      </w:numPr>
      <w:spacing w:line="360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Cs w:val="24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7"/>
    <w:semiHidden/>
    <w:unhideWhenUsed/>
    <w:qFormat/>
    <w:uiPriority w:val="99"/>
    <w:rPr>
      <w:rFonts w:ascii="宋体"/>
      <w:sz w:val="18"/>
      <w:szCs w:val="18"/>
    </w:rPr>
  </w:style>
  <w:style w:type="paragraph" w:styleId="12">
    <w:name w:val="Body Text"/>
    <w:basedOn w:val="1"/>
    <w:link w:val="48"/>
    <w:qFormat/>
    <w:uiPriority w:val="1"/>
    <w:pPr>
      <w:autoSpaceDE w:val="0"/>
      <w:autoSpaceDN w:val="0"/>
      <w:ind w:left="140"/>
      <w:jc w:val="left"/>
    </w:pPr>
    <w:rPr>
      <w:rFonts w:ascii="仿宋" w:hAnsi="仿宋" w:eastAsia="仿宋" w:cs="仿宋"/>
      <w:kern w:val="0"/>
      <w:sz w:val="32"/>
      <w:szCs w:val="32"/>
    </w:r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Plain Text"/>
    <w:basedOn w:val="1"/>
    <w:next w:val="1"/>
    <w:link w:val="38"/>
    <w:qFormat/>
    <w:uiPriority w:val="0"/>
    <w:rPr>
      <w:rFonts w:hint="eastAsia" w:ascii="宋体" w:hAnsi="Courier New"/>
      <w:sz w:val="21"/>
      <w:szCs w:val="21"/>
    </w:rPr>
  </w:style>
  <w:style w:type="paragraph" w:styleId="15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2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unhideWhenUsed/>
    <w:qFormat/>
    <w:uiPriority w:val="39"/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character" w:styleId="22">
    <w:name w:val="FollowedHyperlink"/>
    <w:basedOn w:val="2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3">
    <w:name w:val="Hyperlink"/>
    <w:basedOn w:val="2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4">
    <w:name w:val="页眉 Char"/>
    <w:basedOn w:val="21"/>
    <w:link w:val="17"/>
    <w:qFormat/>
    <w:uiPriority w:val="99"/>
    <w:rPr>
      <w:sz w:val="18"/>
      <w:szCs w:val="18"/>
    </w:rPr>
  </w:style>
  <w:style w:type="character" w:customStyle="1" w:styleId="25">
    <w:name w:val="页脚 Char"/>
    <w:basedOn w:val="21"/>
    <w:link w:val="16"/>
    <w:qFormat/>
    <w:uiPriority w:val="99"/>
    <w:rPr>
      <w:sz w:val="18"/>
      <w:szCs w:val="18"/>
    </w:rPr>
  </w:style>
  <w:style w:type="character" w:customStyle="1" w:styleId="26">
    <w:name w:val="标题 1 Char"/>
    <w:basedOn w:val="21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27">
    <w:name w:val="标题 2 Char"/>
    <w:basedOn w:val="21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3 Char"/>
    <w:basedOn w:val="21"/>
    <w:link w:val="4"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29">
    <w:name w:val="标题 4 Char"/>
    <w:basedOn w:val="21"/>
    <w:link w:val="5"/>
    <w:qFormat/>
    <w:uiPriority w:val="9"/>
    <w:rPr>
      <w:rFonts w:ascii="Cambria" w:hAnsi="Cambria" w:eastAsia="宋体" w:cs="Times New Roman"/>
      <w:b/>
      <w:bCs/>
      <w:sz w:val="28"/>
      <w:szCs w:val="28"/>
    </w:rPr>
  </w:style>
  <w:style w:type="character" w:customStyle="1" w:styleId="30">
    <w:name w:val="标题 5 Char"/>
    <w:basedOn w:val="21"/>
    <w:link w:val="6"/>
    <w:semiHidden/>
    <w:qFormat/>
    <w:uiPriority w:val="9"/>
    <w:rPr>
      <w:rFonts w:ascii="Calibri" w:hAnsi="Calibri" w:eastAsia="宋体" w:cs="Times New Roman"/>
      <w:b/>
      <w:bCs/>
      <w:sz w:val="28"/>
      <w:szCs w:val="28"/>
    </w:rPr>
  </w:style>
  <w:style w:type="character" w:customStyle="1" w:styleId="31">
    <w:name w:val="标题 6 Char"/>
    <w:basedOn w:val="21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2">
    <w:name w:val="标题 7 Char"/>
    <w:basedOn w:val="21"/>
    <w:link w:val="8"/>
    <w:semiHidden/>
    <w:qFormat/>
    <w:uiPriority w:val="9"/>
    <w:rPr>
      <w:rFonts w:ascii="Calibri" w:hAnsi="Calibri" w:eastAsia="宋体" w:cs="Times New Roman"/>
      <w:b/>
      <w:bCs/>
      <w:sz w:val="24"/>
      <w:szCs w:val="24"/>
    </w:rPr>
  </w:style>
  <w:style w:type="character" w:customStyle="1" w:styleId="33">
    <w:name w:val="标题 8 Char"/>
    <w:basedOn w:val="21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4">
    <w:name w:val="标题 9 Char"/>
    <w:basedOn w:val="21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paragraph" w:styleId="35">
    <w:name w:val="List Paragraph"/>
    <w:basedOn w:val="1"/>
    <w:qFormat/>
    <w:uiPriority w:val="99"/>
    <w:pPr>
      <w:ind w:firstLine="420" w:firstLineChars="200"/>
    </w:pPr>
  </w:style>
  <w:style w:type="character" w:customStyle="1" w:styleId="36">
    <w:name w:val="批注框文本 Char"/>
    <w:basedOn w:val="21"/>
    <w:link w:val="1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7">
    <w:name w:val="文档结构图 Char"/>
    <w:basedOn w:val="21"/>
    <w:link w:val="11"/>
    <w:semiHidden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38">
    <w:name w:val="纯文本 Char"/>
    <w:basedOn w:val="21"/>
    <w:link w:val="14"/>
    <w:qFormat/>
    <w:uiPriority w:val="0"/>
    <w:rPr>
      <w:rFonts w:ascii="宋体" w:hAnsi="Courier New" w:eastAsia="宋体" w:cs="Times New Roman"/>
      <w:szCs w:val="21"/>
    </w:rPr>
  </w:style>
  <w:style w:type="paragraph" w:customStyle="1" w:styleId="39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40">
    <w:name w:val="文章标题"/>
    <w:basedOn w:val="3"/>
    <w:next w:val="2"/>
    <w:qFormat/>
    <w:uiPriority w:val="0"/>
    <w:pPr>
      <w:keepNext w:val="0"/>
      <w:keepLines w:val="0"/>
      <w:spacing w:before="120" w:line="240" w:lineRule="auto"/>
      <w:jc w:val="center"/>
      <w:textAlignment w:val="baseline"/>
      <w:outlineLvl w:val="9"/>
    </w:pPr>
    <w:rPr>
      <w:rFonts w:ascii="宋体" w:hAnsi="Times New Roman"/>
      <w:spacing w:val="20"/>
      <w:sz w:val="48"/>
    </w:rPr>
  </w:style>
  <w:style w:type="paragraph" w:customStyle="1" w:styleId="41">
    <w:name w:val="1."/>
    <w:basedOn w:val="1"/>
    <w:qFormat/>
    <w:uiPriority w:val="0"/>
    <w:pPr>
      <w:spacing w:line="360" w:lineRule="auto"/>
      <w:ind w:firstLine="480" w:firstLineChars="200"/>
    </w:pPr>
  </w:style>
  <w:style w:type="paragraph" w:customStyle="1" w:styleId="42">
    <w:name w:val="WPSOffice手动目录 1"/>
    <w:qFormat/>
    <w:uiPriority w:val="0"/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</w:rPr>
  </w:style>
  <w:style w:type="paragraph" w:customStyle="1" w:styleId="43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</w:rPr>
  </w:style>
  <w:style w:type="paragraph" w:customStyle="1" w:styleId="44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</w:rPr>
  </w:style>
  <w:style w:type="character" w:customStyle="1" w:styleId="45">
    <w:name w:val="未处理的提及1"/>
    <w:basedOn w:val="2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6">
    <w:name w:val="TOC 标题2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47">
    <w:name w:val="页眉-项目文档"/>
    <w:basedOn w:val="17"/>
    <w:qFormat/>
    <w:uiPriority w:val="0"/>
    <w:pPr>
      <w:jc w:val="left"/>
    </w:pPr>
    <w:rPr>
      <w:rFonts w:asciiTheme="minorHAnsi" w:hAnsiTheme="minorHAnsi" w:eastAsiaTheme="minorEastAsia" w:cstheme="minorBidi"/>
      <w:sz w:val="21"/>
    </w:rPr>
  </w:style>
  <w:style w:type="character" w:customStyle="1" w:styleId="48">
    <w:name w:val="正文文本 Char"/>
    <w:basedOn w:val="21"/>
    <w:link w:val="12"/>
    <w:qFormat/>
    <w:uiPriority w:val="1"/>
    <w:rPr>
      <w:rFonts w:ascii="仿宋" w:hAnsi="仿宋" w:eastAsia="仿宋" w:cs="仿宋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4.jpeg"/><Relationship Id="rId30" Type="http://schemas.openxmlformats.org/officeDocument/2006/relationships/image" Target="media/image23.png"/><Relationship Id="rId3" Type="http://schemas.openxmlformats.org/officeDocument/2006/relationships/header" Target="head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17</Pages>
  <Words>1691</Words>
  <Characters>1854</Characters>
  <Lines>38</Lines>
  <Paragraphs>10</Paragraphs>
  <TotalTime>0</TotalTime>
  <ScaleCrop>false</ScaleCrop>
  <LinksUpToDate>false</LinksUpToDate>
  <CharactersWithSpaces>1995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2024-08-22T06:11:00Z</dcterms:created>
  <dc:creator>Windows User</dc:creator>
  <cp:lastModifiedBy>nyncj</cp:lastModifiedBy>
  <dcterms:modified xsi:type="dcterms:W3CDTF">2026-07-24T16:02:08Z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eyJoZGlkIjoiZmM3MDJjNDk1NjMzMjQ1ZDkzYmI1MWM4YThiYWEyMDMiLCJ1c2VySWQiOiI0MzY4NDM4NjUifQ==</vt:lpwstr>
  </property>
  <property fmtid="{D5CDD505-2E9C-101B-9397-08002B2CF9AE}" pid="3" name="KSOProductBuildVer">
    <vt:lpwstr>2052-11.8.2.10125</vt:lpwstr>
  </property>
  <property fmtid="{D5CDD505-2E9C-101B-9397-08002B2CF9AE}" pid="4" name="ICV">
    <vt:lpwstr>AB2ED7F3C9974FB6A44F91B5A90FC954_13</vt:lpwstr>
  </property>
</Properties>
</file>