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C2537">
      <w:pPr>
        <w:spacing w:after="200" w:line="64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lang w:val="zh-TW" w:eastAsia="zh-TW" w:bidi="zh-TW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5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441"/>
        <w:gridCol w:w="441"/>
        <w:gridCol w:w="441"/>
        <w:gridCol w:w="663"/>
        <w:gridCol w:w="776"/>
        <w:gridCol w:w="752"/>
        <w:gridCol w:w="751"/>
        <w:gridCol w:w="710"/>
        <w:gridCol w:w="740"/>
        <w:gridCol w:w="720"/>
        <w:gridCol w:w="574"/>
        <w:gridCol w:w="595"/>
        <w:gridCol w:w="459"/>
        <w:gridCol w:w="720"/>
        <w:gridCol w:w="689"/>
        <w:gridCol w:w="697"/>
        <w:gridCol w:w="649"/>
        <w:gridCol w:w="216"/>
        <w:gridCol w:w="216"/>
        <w:gridCol w:w="441"/>
        <w:gridCol w:w="431"/>
        <w:gridCol w:w="595"/>
        <w:gridCol w:w="882"/>
      </w:tblGrid>
      <w:tr w14:paraId="1B2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5F38C">
            <w:pPr>
              <w:keepNext w:val="0"/>
              <w:keepLines w:val="0"/>
              <w:widowControl/>
              <w:suppressLineNumbers w:val="0"/>
              <w:spacing w:after="200" w:line="640" w:lineRule="exact"/>
              <w:jc w:val="center"/>
              <w:textAlignment w:val="auto"/>
              <w:rPr>
                <w:rStyle w:val="4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</w:pPr>
            <w:r>
              <w:rPr>
                <w:rStyle w:val="4"/>
                <w:rFonts w:ascii="Times New Roman" w:hAnsi="Times New Roman" w:eastAsia="华文中宋" w:cs="Times New Roman"/>
                <w:b/>
                <w:bCs/>
                <w:color w:val="auto"/>
                <w:sz w:val="36"/>
                <w:szCs w:val="36"/>
                <w:lang w:val="zh-TW" w:eastAsia="zh-TW" w:bidi="zh-TW"/>
              </w:rPr>
              <w:t>2026年度农业主导品种（农作物）汇总表</w:t>
            </w:r>
          </w:p>
        </w:tc>
      </w:tr>
      <w:tr w14:paraId="3679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4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221C9">
            <w:pPr>
              <w:keepNext w:val="0"/>
              <w:keepLines w:val="0"/>
              <w:widowControl/>
              <w:suppressLineNumbers w:val="0"/>
              <w:spacing w:line="640" w:lineRule="exact"/>
              <w:jc w:val="both"/>
              <w:textAlignment w:val="auto"/>
              <w:rPr>
                <w:rFonts w:ascii="Times New Roman" w:hAnsi="Times New Roman" w:eastAsia="楷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auto"/>
                <w:kern w:val="2"/>
                <w:sz w:val="28"/>
                <w:szCs w:val="24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071C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EBA1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F0C3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AB141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C23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401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13A4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492A3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8BE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F7B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C252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6398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4DEB9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331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0FB9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作物种类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品种名称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单产（公斤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亩）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近3年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生产应用面积（万亩）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年可推广面积（万亩）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2026-2027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年可增产（亿斤）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抗性情况（限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品质情况（限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品种特点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主要适宜区域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限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30</w:t>
            </w: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字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审定（登记、鉴定）时间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是否获得品种权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是否被列为省级主导品种及年份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是否入选农业农村部主导品种及年份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育成人</w:t>
            </w:r>
          </w:p>
        </w:tc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推荐单位联系人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近3年入选主导品种情况</w:t>
            </w:r>
          </w:p>
        </w:tc>
      </w:tr>
      <w:tr w14:paraId="1EE6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7D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0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18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25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58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AF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C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0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93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F4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66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12E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34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8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51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2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育种（申报）单位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55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推广机构</w:t>
            </w:r>
          </w:p>
        </w:tc>
        <w:tc>
          <w:tcPr>
            <w:tcW w:w="43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  <w:tr w14:paraId="10A4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CB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1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5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C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9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C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4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8E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7E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3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A3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57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4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F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D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C5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C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F3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02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04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2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5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B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8F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EB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9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FC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C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44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8E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4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D1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A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8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B2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F9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5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0C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E4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EC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65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9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1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4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08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D0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C0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FB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77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9F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1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A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E3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8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B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FC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A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79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5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2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7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9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F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1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148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D5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注：作物种类指水稻、小麦、玉米、棉花、大豆等。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品种名称指品种审定或登记的正式名称。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 xml:space="preserve">    2026</w:t>
            </w:r>
            <w:r>
              <w:rPr>
                <w:rStyle w:val="8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年增产</w:t>
            </w:r>
            <w:r>
              <w:rPr>
                <w:rStyle w:val="7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计算方式，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按照使用好品种好技术较普通品种或技术每亩增产量乘以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2026</w:t>
            </w:r>
            <w:r>
              <w:rPr>
                <w:rStyle w:val="8"/>
                <w:rFonts w:hint="eastAsia" w:eastAsia="宋体"/>
                <w:sz w:val="21"/>
                <w:szCs w:val="21"/>
                <w:lang w:val="en-US" w:eastAsia="zh-CN" w:bidi="ar"/>
              </w:rPr>
              <w:t>—</w:t>
            </w:r>
            <w:r>
              <w:rPr>
                <w:rStyle w:val="8"/>
                <w:rFonts w:eastAsia="宋体"/>
                <w:sz w:val="21"/>
                <w:szCs w:val="21"/>
                <w:lang w:val="en-US" w:eastAsia="zh-CN" w:bidi="ar"/>
              </w:rPr>
              <w:t>2027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年推广面积计算。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05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</w:p>
        </w:tc>
      </w:tr>
    </w:tbl>
    <w:p w14:paraId="38E58E2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3167C"/>
    <w:rsid w:val="7093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2025-10-11T09:48:00Z</dcterms:created>
  <dc:creator>李敏</dc:creator>
  <cp:lastModifiedBy>李敏</cp:lastModifiedBy>
  <dcterms:modified xsi:type="dcterms:W3CDTF">2025-10-11T09:49:05Z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12B13AB7D80D47BC8E60CDA9B20B064D_11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