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highlight w:val="none"/>
          <w:shd w:val="clear" w:color="auto" w:fill="FFFFFF"/>
          <w:lang w:val="en-US" w:eastAsia="zh-CN"/>
        </w:rPr>
        <w:t>2025年养殖环节无害化处理补助</w:t>
      </w: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lang w:eastAsia="zh-CN"/>
        </w:rPr>
        <w:t>根据</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highlight w:val="none"/>
          <w:shd w:val="clear" w:color="auto" w:fill="FFFFFF"/>
        </w:rPr>
        <w:t>财政部关于提前下达</w:t>
      </w:r>
      <w:r>
        <w:rPr>
          <w:rFonts w:hint="eastAsia" w:ascii="仿宋_GB2312" w:hAnsi="仿宋_GB2312" w:eastAsia="仿宋_GB2312" w:cs="仿宋_GB2312"/>
          <w:sz w:val="32"/>
          <w:szCs w:val="32"/>
          <w:lang w:val="en-US" w:eastAsia="zh-CN"/>
        </w:rPr>
        <w:t>2025年农业防灾减灾和水利救灾资金（动物防疫补助）预算的通知》（财农〔2024〕79号）</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sz w:val="32"/>
          <w:szCs w:val="32"/>
          <w:highlight w:val="none"/>
          <w:lang w:val="en-US" w:eastAsia="zh-CN"/>
        </w:rPr>
        <w:t>《财政部关于下达2025年农业防灾减灾和水利救灾资金（动物防疫补助）预算的通知》（财农〔2025〕18号）《农业农村部 财政部关于做好2025年粮油生</w:t>
      </w:r>
      <w:bookmarkStart w:id="0" w:name="_GoBack"/>
      <w:bookmarkEnd w:id="0"/>
      <w:r>
        <w:rPr>
          <w:rFonts w:hint="eastAsia" w:ascii="仿宋_GB2312" w:hAnsi="仿宋_GB2312" w:eastAsia="仿宋_GB2312" w:cs="仿宋_GB2312"/>
          <w:sz w:val="32"/>
          <w:szCs w:val="32"/>
          <w:highlight w:val="none"/>
          <w:lang w:val="en-US" w:eastAsia="zh-CN"/>
        </w:rPr>
        <w:t>产保障等项目实施工作的通知》（农计财发〔2025〕9号）</w:t>
      </w:r>
      <w:r>
        <w:rPr>
          <w:rFonts w:hint="eastAsia" w:ascii="仿宋_GB2312" w:hAnsi="仿宋_GB2312" w:eastAsia="仿宋_GB2312" w:cs="仿宋_GB2312"/>
          <w:color w:val="000000"/>
          <w:sz w:val="32"/>
          <w:szCs w:val="32"/>
          <w:highlight w:val="none"/>
          <w:shd w:val="clear" w:color="auto" w:fill="FFFFFF"/>
        </w:rPr>
        <w:t>文件精神，</w:t>
      </w:r>
      <w:r>
        <w:rPr>
          <w:rFonts w:hint="eastAsia" w:ascii="仿宋_GB2312" w:hAnsi="仿宋_GB2312" w:eastAsia="仿宋_GB2312" w:cs="仿宋_GB2312"/>
          <w:color w:val="000000"/>
          <w:sz w:val="32"/>
          <w:szCs w:val="32"/>
          <w:highlight w:val="none"/>
          <w:shd w:val="clear" w:color="auto" w:fill="FFFFFF"/>
          <w:lang w:eastAsia="zh-CN"/>
        </w:rPr>
        <w:t>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北京市农业局关于印发〈</w:t>
      </w:r>
      <w:r>
        <w:rPr>
          <w:rFonts w:hint="eastAsia" w:ascii="仿宋_GB2312" w:hAnsi="仿宋_GB2312" w:eastAsia="仿宋_GB2312" w:cs="仿宋_GB2312"/>
          <w:sz w:val="32"/>
          <w:szCs w:val="32"/>
        </w:rPr>
        <w:t>北京市动物及动物产品无害化处理公共设施建设实施方案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（京农发〔</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北京市农业农村局 </w:t>
      </w:r>
      <w:r>
        <w:rPr>
          <w:rFonts w:hint="eastAsia" w:ascii="仿宋_GB2312" w:hAnsi="仿宋_GB2312" w:eastAsia="仿宋_GB2312" w:cs="仿宋_GB2312"/>
          <w:sz w:val="32"/>
          <w:szCs w:val="32"/>
          <w:lang w:eastAsia="zh-CN"/>
        </w:rPr>
        <w:t>北京市财政局</w:t>
      </w:r>
      <w:r>
        <w:rPr>
          <w:rFonts w:hint="eastAsia" w:ascii="仿宋_GB2312" w:hAnsi="仿宋_GB2312" w:eastAsia="仿宋_GB2312" w:cs="仿宋_GB2312"/>
          <w:sz w:val="32"/>
          <w:szCs w:val="32"/>
          <w:lang w:val="en-US" w:eastAsia="zh-CN"/>
        </w:rPr>
        <w:t>关于印发〈北京市强制扑杀动物补偿管理实施细则〉〈北京市动物及动物产品无害化处理补助管理实施细则〉〈北京市动物疫病强制免疫补助管理实施细则〉的通知》</w:t>
      </w:r>
      <w:r>
        <w:rPr>
          <w:rFonts w:hint="eastAsia" w:ascii="仿宋_GB2312" w:hAnsi="仿宋_GB2312" w:eastAsia="仿宋_GB2312" w:cs="仿宋_GB2312"/>
          <w:sz w:val="32"/>
          <w:szCs w:val="32"/>
          <w:lang w:eastAsia="zh-CN"/>
        </w:rPr>
        <w:t>（京农发〔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25号</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lang w:val="en-US" w:eastAsia="zh-CN"/>
        </w:rPr>
        <w:t>2025年度</w:t>
      </w:r>
      <w:r>
        <w:rPr>
          <w:rFonts w:hint="eastAsia" w:ascii="仿宋_GB2312" w:hAnsi="仿宋_GB2312" w:eastAsia="仿宋_GB2312" w:cs="仿宋_GB2312"/>
          <w:sz w:val="32"/>
          <w:szCs w:val="32"/>
          <w:lang w:eastAsia="zh-CN"/>
        </w:rPr>
        <w:t>养殖环节病死动物无害化处理补助按照以下方案执行。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color w:val="000000"/>
          <w:sz w:val="32"/>
          <w:szCs w:val="32"/>
          <w:highlight w:val="none"/>
          <w:shd w:val="clear" w:color="auto" w:fill="FFFFFF"/>
          <w:lang w:eastAsia="zh-CN"/>
        </w:rPr>
        <w:t>我市养殖环节收集的需集中处理的病死动物及动物产品委托</w:t>
      </w:r>
      <w:r>
        <w:rPr>
          <w:rFonts w:hint="eastAsia" w:ascii="仿宋_GB2312" w:hAnsi="仿宋_GB2312" w:eastAsia="仿宋_GB2312" w:cs="仿宋_GB2312"/>
          <w:sz w:val="32"/>
          <w:szCs w:val="32"/>
          <w:lang w:val="en-US" w:eastAsia="zh-CN"/>
        </w:rPr>
        <w:t>具有合法资质和配套处理能力的无害化处理企业</w:t>
      </w:r>
      <w:r>
        <w:rPr>
          <w:rFonts w:hint="eastAsia" w:ascii="仿宋_GB2312" w:hAnsi="仿宋_GB2312" w:eastAsia="仿宋_GB2312" w:cs="仿宋_GB2312"/>
          <w:color w:val="000000"/>
          <w:sz w:val="32"/>
          <w:szCs w:val="32"/>
          <w:highlight w:val="none"/>
          <w:shd w:val="clear" w:color="auto" w:fill="FFFFFF"/>
          <w:lang w:eastAsia="zh-CN"/>
        </w:rPr>
        <w:t>统一进行收运及无害化处理。补助资金用于支付无害化处理企业的收运处理服务费，补助标准按照《北京市动物、动物无害化处理授权经营协议》约定的费用结算标准执行。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000000"/>
          <w:sz w:val="32"/>
          <w:szCs w:val="32"/>
          <w:highlight w:val="none"/>
          <w:shd w:val="clear" w:color="auto" w:fill="FFFFFF"/>
          <w:lang w:eastAsia="zh-CN"/>
        </w:rPr>
      </w:pPr>
      <w:r>
        <w:rPr>
          <w:rFonts w:hint="eastAsia" w:ascii="CESI楷体-GB2312" w:hAnsi="CESI楷体-GB2312" w:eastAsia="CESI楷体-GB2312" w:cs="CESI楷体-GB2312"/>
          <w:color w:val="000000"/>
          <w:sz w:val="32"/>
          <w:szCs w:val="32"/>
          <w:highlight w:val="none"/>
          <w:shd w:val="clear" w:color="auto" w:fill="FFFFFF"/>
          <w:lang w:eastAsia="zh-CN"/>
        </w:rPr>
        <w:t>（一）实施条件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根据《</w:t>
      </w:r>
      <w:r>
        <w:rPr>
          <w:rFonts w:hint="eastAsia" w:ascii="仿宋_GB2312" w:hAnsi="仿宋_GB2312" w:eastAsia="仿宋_GB2312" w:cs="仿宋_GB2312"/>
          <w:color w:val="000000"/>
          <w:sz w:val="32"/>
          <w:szCs w:val="32"/>
          <w:highlight w:val="none"/>
          <w:shd w:val="clear" w:color="auto" w:fill="FFFFFF"/>
        </w:rPr>
        <w:t>北京市动物及动物产品无害化处理公共设施建设实施方案</w:t>
      </w:r>
      <w:r>
        <w:rPr>
          <w:rFonts w:hint="eastAsia" w:ascii="仿宋_GB2312" w:hAnsi="仿宋_GB2312" w:eastAsia="仿宋_GB2312" w:cs="仿宋_GB2312"/>
          <w:color w:val="000000"/>
          <w:sz w:val="32"/>
          <w:szCs w:val="32"/>
          <w:highlight w:val="none"/>
          <w:shd w:val="clear" w:color="auto" w:fill="FFFFFF"/>
          <w:lang w:eastAsia="zh-CN"/>
        </w:rPr>
        <w:t>》，我市于</w:t>
      </w:r>
      <w:r>
        <w:rPr>
          <w:rFonts w:hint="eastAsia" w:ascii="仿宋_GB2312" w:hAnsi="仿宋_GB2312" w:eastAsia="仿宋_GB2312" w:cs="仿宋_GB2312"/>
          <w:color w:val="000000"/>
          <w:sz w:val="32"/>
          <w:szCs w:val="32"/>
          <w:highlight w:val="none"/>
          <w:shd w:val="clear" w:color="auto" w:fill="FFFFFF"/>
          <w:lang w:val="en-US" w:eastAsia="zh-CN"/>
        </w:rPr>
        <w:t>2016年</w:t>
      </w:r>
      <w:r>
        <w:rPr>
          <w:rFonts w:hint="eastAsia" w:ascii="仿宋_GB2312" w:hAnsi="仿宋_GB2312" w:eastAsia="仿宋_GB2312" w:cs="仿宋_GB2312"/>
          <w:color w:val="000000"/>
          <w:sz w:val="32"/>
          <w:szCs w:val="32"/>
          <w:highlight w:val="none"/>
          <w:shd w:val="clear" w:color="auto" w:fill="FFFFFF"/>
          <w:lang w:eastAsia="zh-CN"/>
        </w:rPr>
        <w:t>建成覆盖城乡的病死动物无害化收集处理体系并于</w:t>
      </w:r>
      <w:r>
        <w:rPr>
          <w:rFonts w:hint="eastAsia" w:ascii="仿宋_GB2312" w:hAnsi="仿宋_GB2312" w:eastAsia="仿宋_GB2312" w:cs="仿宋_GB2312"/>
          <w:color w:val="000000"/>
          <w:sz w:val="32"/>
          <w:szCs w:val="32"/>
          <w:highlight w:val="none"/>
          <w:shd w:val="clear" w:color="auto" w:fill="FFFFFF"/>
          <w:lang w:val="en-US" w:eastAsia="zh-CN"/>
        </w:rPr>
        <w:t>2017年</w:t>
      </w:r>
      <w:r>
        <w:rPr>
          <w:rFonts w:hint="eastAsia" w:ascii="仿宋_GB2312" w:hAnsi="仿宋_GB2312" w:eastAsia="仿宋_GB2312" w:cs="仿宋_GB2312"/>
          <w:color w:val="000000"/>
          <w:sz w:val="32"/>
          <w:szCs w:val="32"/>
          <w:highlight w:val="none"/>
          <w:shd w:val="clear" w:color="auto" w:fill="FFFFFF"/>
          <w:lang w:eastAsia="zh-CN"/>
        </w:rPr>
        <w:t>开始运行。</w:t>
      </w:r>
      <w:r>
        <w:rPr>
          <w:rFonts w:hint="eastAsia" w:ascii="仿宋_GB2312" w:hAnsi="仿宋_GB2312" w:eastAsia="仿宋_GB2312" w:cs="仿宋_GB2312"/>
          <w:i w:val="0"/>
          <w:caps w:val="0"/>
          <w:color w:val="000000"/>
          <w:spacing w:val="0"/>
          <w:kern w:val="2"/>
          <w:sz w:val="32"/>
          <w:szCs w:val="32"/>
          <w:highlight w:val="none"/>
          <w:shd w:val="clear" w:color="auto" w:fill="FFFFFF"/>
          <w:lang w:val="en-US" w:eastAsia="zh-CN" w:bidi="ar"/>
        </w:rPr>
        <w:t>各区负责在本区科学布局建立病死动物收集暂存点，确保养殖环节病死动物均能及时、安全得到收集。市级通过购买服务方式</w:t>
      </w:r>
      <w:r>
        <w:rPr>
          <w:rFonts w:hint="eastAsia" w:ascii="仿宋_GB2312" w:hAnsi="仿宋_GB2312" w:eastAsia="仿宋_GB2312" w:cs="仿宋_GB2312"/>
          <w:color w:val="000000"/>
          <w:sz w:val="32"/>
          <w:szCs w:val="32"/>
          <w:highlight w:val="none"/>
          <w:shd w:val="clear" w:color="auto" w:fill="FFFFFF"/>
          <w:lang w:eastAsia="zh-CN"/>
        </w:rPr>
        <w:t>委托</w:t>
      </w:r>
      <w:r>
        <w:rPr>
          <w:rFonts w:hint="eastAsia" w:ascii="仿宋_GB2312" w:hAnsi="仿宋_GB2312" w:eastAsia="仿宋_GB2312" w:cs="仿宋_GB2312"/>
          <w:sz w:val="32"/>
          <w:szCs w:val="32"/>
          <w:lang w:val="en-US" w:eastAsia="zh-CN"/>
        </w:rPr>
        <w:t>具有合法资质和配套处理能力的无害化处理企业</w:t>
      </w:r>
      <w:r>
        <w:rPr>
          <w:rFonts w:hint="eastAsia" w:ascii="仿宋_GB2312" w:hAnsi="仿宋_GB2312" w:eastAsia="仿宋_GB2312" w:cs="仿宋_GB2312"/>
          <w:color w:val="000000"/>
          <w:sz w:val="32"/>
          <w:szCs w:val="32"/>
          <w:highlight w:val="none"/>
          <w:shd w:val="clear" w:color="auto" w:fill="FFFFFF"/>
          <w:lang w:eastAsia="zh-CN"/>
        </w:rPr>
        <w:t>统一进行收运及无害化处理，保障全市养殖环节收集的需集中无害化处理的病死动物得到及时处理。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000000"/>
          <w:sz w:val="32"/>
          <w:szCs w:val="32"/>
          <w:highlight w:val="none"/>
          <w:shd w:val="clear" w:color="auto" w:fill="FFFFFF"/>
          <w:lang w:eastAsia="zh-CN"/>
        </w:rPr>
      </w:pPr>
      <w:r>
        <w:rPr>
          <w:rFonts w:hint="eastAsia" w:ascii="CESI楷体-GB2312" w:hAnsi="CESI楷体-GB2312" w:eastAsia="CESI楷体-GB2312" w:cs="CESI楷体-GB2312"/>
          <w:color w:val="000000"/>
          <w:sz w:val="32"/>
          <w:szCs w:val="32"/>
          <w:highlight w:val="none"/>
          <w:shd w:val="clear" w:color="auto" w:fill="FFFFFF"/>
          <w:lang w:eastAsia="zh-CN"/>
        </w:rPr>
        <w:t>（二）支持对象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eastAsia="zh-CN"/>
        </w:rPr>
        <w:t>根据《</w:t>
      </w:r>
      <w:r>
        <w:rPr>
          <w:rFonts w:hint="eastAsia" w:ascii="仿宋_GB2312" w:hAnsi="仿宋_GB2312" w:eastAsia="仿宋_GB2312" w:cs="仿宋_GB2312"/>
          <w:sz w:val="32"/>
          <w:szCs w:val="32"/>
          <w:lang w:val="en-US" w:eastAsia="zh-CN"/>
        </w:rPr>
        <w:t>北京市动物及动物产品无害化处理补助管理实施细则》</w:t>
      </w:r>
      <w:r>
        <w:rPr>
          <w:rFonts w:hint="eastAsia" w:ascii="仿宋_GB2312" w:hAnsi="仿宋_GB2312" w:eastAsia="仿宋_GB2312" w:cs="仿宋_GB2312"/>
          <w:color w:val="000000"/>
          <w:sz w:val="32"/>
          <w:szCs w:val="32"/>
          <w:highlight w:val="none"/>
          <w:shd w:val="clear" w:color="auto" w:fill="FFFFFF"/>
          <w:lang w:eastAsia="zh-CN"/>
        </w:rPr>
        <w:t>本项目补助经费用于向承担集中无害化处理任务的无害化处理企业支付收运处理服务费</w:t>
      </w:r>
      <w:r>
        <w:rPr>
          <w:rFonts w:hint="eastAsia" w:ascii="仿宋_GB2312" w:hAnsi="仿宋_GB2312" w:eastAsia="仿宋_GB2312" w:cs="仿宋_GB2312"/>
          <w:color w:val="000000"/>
          <w:sz w:val="32"/>
          <w:szCs w:val="32"/>
          <w:highlight w:val="none"/>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楷体-GB2312" w:hAnsi="CESI楷体-GB2312" w:eastAsia="CESI楷体-GB2312" w:cs="CESI楷体-GB2312"/>
          <w:color w:val="000000"/>
          <w:sz w:val="32"/>
          <w:szCs w:val="32"/>
          <w:highlight w:val="none"/>
          <w:shd w:val="clear" w:color="auto" w:fill="FFFFFF"/>
          <w:lang w:val="en-US" w:eastAsia="zh-CN"/>
        </w:rPr>
      </w:pPr>
      <w:r>
        <w:rPr>
          <w:rFonts w:hint="eastAsia" w:ascii="CESI楷体-GB2312" w:hAnsi="CESI楷体-GB2312" w:eastAsia="CESI楷体-GB2312" w:cs="CESI楷体-GB2312"/>
          <w:color w:val="000000"/>
          <w:sz w:val="32"/>
          <w:szCs w:val="32"/>
          <w:highlight w:val="none"/>
          <w:shd w:val="clear" w:color="auto" w:fill="FFFFFF"/>
          <w:lang w:val="en-US" w:eastAsia="zh-CN"/>
        </w:rPr>
        <w:t>（三）支持标准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补助标准按照《北京市动物、动物无害化处理授权经营协议》约定的费用结算标准执行。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资金安排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北京市动物及动物产品无害化处理补助管理实施细则》，市财政结合中央财政补助资金，统筹市级财政资金加强养殖环节无害化处理工作保障力度，确保我市2025年养殖环节集中无害化处理工作需要。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根据我市养殖环节病死动物无害化处理相关规划和方案开展工作，保障养殖环节病死动物及时处理。</w:t>
      </w:r>
    </w:p>
    <w:p>
      <w:pPr>
        <w:keepNext w:val="0"/>
        <w:keepLines w:val="0"/>
        <w:widowControl w:val="0"/>
        <w:numPr>
          <w:ilvl w:val="0"/>
          <w:numId w:val="0"/>
        </w:numPr>
        <w:suppressLineNumbers w:val="0"/>
        <w:spacing w:before="0" w:beforeAutospacing="0" w:after="0" w:afterAutospacing="0" w:line="560" w:lineRule="exact"/>
        <w:ind w:left="0" w:right="0" w:firstLine="640" w:firstLineChars="200"/>
        <w:textAlignment w:val="auto"/>
      </w:pPr>
      <w:r>
        <w:rPr>
          <w:rFonts w:hint="eastAsia" w:ascii="CESI黑体-GB2312" w:hAnsi="CESI黑体-GB2312" w:eastAsia="CESI黑体-GB2312" w:cs="CESI黑体-GB2312"/>
          <w:sz w:val="32"/>
          <w:szCs w:val="32"/>
          <w:lang w:eastAsia="zh-CN"/>
        </w:rPr>
        <w:t>四、实施要求</w:t>
      </w:r>
    </w:p>
    <w:p>
      <w:pPr>
        <w:keepNext w:val="0"/>
        <w:keepLines w:val="0"/>
        <w:widowControl w:val="0"/>
        <w:numPr>
          <w:ilvl w:val="0"/>
          <w:numId w:val="0"/>
        </w:numPr>
        <w:suppressLineNumbers w:val="0"/>
        <w:shd w:val="clear" w:color="auto" w:fill="auto"/>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b w:val="0"/>
          <w:i w:val="0"/>
          <w:caps w:val="0"/>
          <w:color w:val="000000"/>
          <w:spacing w:val="0"/>
          <w:kern w:val="2"/>
          <w:sz w:val="32"/>
          <w:szCs w:val="32"/>
          <w:highlight w:val="none"/>
          <w:shd w:val="clear" w:color="auto" w:fill="FFFFFF"/>
          <w:vertAlign w:val="baseline"/>
          <w:lang w:val="en-US" w:eastAsia="zh-CN" w:bidi="ar"/>
        </w:rPr>
        <w:t>（一）规范处理流程。</w:t>
      </w:r>
      <w:r>
        <w:rPr>
          <w:rFonts w:hint="eastAsia" w:ascii="仿宋_GB2312" w:hAnsi="仿宋_GB2312" w:eastAsia="仿宋_GB2312" w:cs="仿宋_GB2312"/>
          <w:i w:val="0"/>
          <w:caps w:val="0"/>
          <w:color w:val="000000"/>
          <w:spacing w:val="0"/>
          <w:kern w:val="2"/>
          <w:sz w:val="32"/>
          <w:szCs w:val="32"/>
          <w:highlight w:val="none"/>
          <w:shd w:val="clear" w:color="auto" w:fill="FFFFFF"/>
          <w:vertAlign w:val="baseline"/>
          <w:lang w:val="en-US" w:eastAsia="zh-CN" w:bidi="ar"/>
        </w:rPr>
        <w:t>无害化处理企业要严格按照《病死及病害动物无害化处理技术规范》等要求，确保病死动物处理彻底，不引发二次污染和疫病传播。</w:t>
      </w:r>
    </w:p>
    <w:p>
      <w:pPr>
        <w:keepNext w:val="0"/>
        <w:keepLines w:val="0"/>
        <w:widowControl w:val="0"/>
        <w:numPr>
          <w:ilvl w:val="0"/>
          <w:numId w:val="0"/>
        </w:numPr>
        <w:suppressLineNumbers w:val="0"/>
        <w:shd w:val="clear" w:color="auto" w:fill="auto"/>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2"/>
          <w:sz w:val="32"/>
          <w:szCs w:val="32"/>
          <w:highlight w:val="none"/>
          <w:shd w:val="clear" w:color="auto" w:fill="FFFFFF"/>
          <w:vertAlign w:val="baseline"/>
          <w:lang w:val="en-US" w:eastAsia="zh-CN" w:bidi="ar"/>
        </w:rPr>
      </w:pPr>
      <w:r>
        <w:rPr>
          <w:rFonts w:hint="eastAsia" w:ascii="仿宋_GB2312" w:hAnsi="仿宋_GB2312" w:eastAsia="仿宋_GB2312" w:cs="仿宋_GB2312"/>
          <w:color w:val="000000"/>
          <w:sz w:val="32"/>
          <w:szCs w:val="32"/>
          <w:highlight w:val="none"/>
          <w:shd w:val="clear" w:color="auto" w:fill="FFFFFF"/>
          <w:lang w:eastAsia="zh-CN"/>
        </w:rPr>
        <w:t>（二）</w:t>
      </w:r>
      <w:r>
        <w:rPr>
          <w:rFonts w:hint="eastAsia" w:ascii="仿宋_GB2312" w:hAnsi="仿宋_GB2312" w:eastAsia="仿宋_GB2312" w:cs="仿宋_GB2312"/>
          <w:b w:val="0"/>
          <w:i w:val="0"/>
          <w:caps w:val="0"/>
          <w:color w:val="000000"/>
          <w:spacing w:val="0"/>
          <w:kern w:val="2"/>
          <w:sz w:val="32"/>
          <w:szCs w:val="32"/>
          <w:highlight w:val="none"/>
          <w:shd w:val="clear" w:color="auto" w:fill="FFFFFF"/>
          <w:vertAlign w:val="baseline"/>
          <w:lang w:val="en-US" w:eastAsia="zh-CN" w:bidi="ar"/>
        </w:rPr>
        <w:t>加强数据管理。</w:t>
      </w:r>
      <w:r>
        <w:rPr>
          <w:rFonts w:hint="eastAsia" w:ascii="仿宋_GB2312" w:hAnsi="仿宋_GB2312" w:eastAsia="仿宋_GB2312" w:cs="仿宋_GB2312"/>
          <w:i w:val="0"/>
          <w:caps w:val="0"/>
          <w:color w:val="000000"/>
          <w:spacing w:val="0"/>
          <w:kern w:val="2"/>
          <w:sz w:val="32"/>
          <w:szCs w:val="32"/>
          <w:highlight w:val="none"/>
          <w:shd w:val="clear" w:color="auto" w:fill="FFFFFF"/>
          <w:vertAlign w:val="baseline"/>
          <w:lang w:val="en-US" w:eastAsia="zh-CN" w:bidi="ar"/>
        </w:rPr>
        <w:t>无害化处理企业、畜禽养殖场及乡镇街道委托收集暂存点、区农业农村部门授权的监督审核人员等均需及时在处理监管信息平台完成填报、取证、审核等工作。</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2"/>
          <w:sz w:val="32"/>
          <w:szCs w:val="32"/>
          <w:highlight w:val="none"/>
          <w:shd w:val="clear" w:color="auto" w:fill="FFFFFF"/>
          <w:vertAlign w:val="baseline"/>
          <w:lang w:val="en-US" w:eastAsia="zh-CN" w:bidi="ar"/>
        </w:rPr>
      </w:pPr>
      <w:r>
        <w:rPr>
          <w:rFonts w:hint="eastAsia" w:ascii="仿宋_GB2312" w:hAnsi="仿宋_GB2312" w:eastAsia="仿宋_GB2312" w:cs="仿宋_GB2312"/>
          <w:i w:val="0"/>
          <w:caps w:val="0"/>
          <w:color w:val="000000"/>
          <w:spacing w:val="0"/>
          <w:kern w:val="2"/>
          <w:sz w:val="32"/>
          <w:szCs w:val="32"/>
          <w:highlight w:val="none"/>
          <w:shd w:val="clear" w:color="auto" w:fill="FFFFFF"/>
          <w:vertAlign w:val="baseline"/>
          <w:lang w:val="en-US" w:eastAsia="zh-CN" w:bidi="ar"/>
        </w:rPr>
        <w:t>（三）规范资金使用。</w:t>
      </w:r>
      <w:r>
        <w:rPr>
          <w:rFonts w:hint="eastAsia" w:ascii="仿宋_GB2312" w:hAnsi="仿宋_GB2312" w:eastAsia="仿宋_GB2312" w:cs="仿宋_GB2312"/>
          <w:i w:val="0"/>
          <w:caps w:val="0"/>
          <w:color w:val="000000"/>
          <w:spacing w:val="0"/>
          <w:kern w:val="2"/>
          <w:sz w:val="32"/>
          <w:szCs w:val="32"/>
          <w:highlight w:val="none"/>
          <w:shd w:val="clear" w:color="auto" w:fill="FFFFFF"/>
          <w:lang w:val="en-US" w:eastAsia="zh-CN" w:bidi="ar"/>
        </w:rPr>
        <w:t>补助资金仅用于支付病死动物无害化处理服务费，不得安排用于设备购置或基建等。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五、监管措施</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（一）加强项目管理。项目承担单位应组织人员及时通过线上、线下方式审核无害化处理项目执行情况，核对相关单据、记录、影像资料，确保处理情况真实、数据准确。</w:t>
      </w:r>
    </w:p>
    <w:p>
      <w:pPr>
        <w:keepNext w:val="0"/>
        <w:keepLines w:val="0"/>
        <w:widowControl w:val="0"/>
        <w:numPr>
          <w:ilvl w:val="0"/>
          <w:numId w:val="0"/>
        </w:numPr>
        <w:suppressLineNumbers w:val="0"/>
        <w:spacing w:before="0" w:beforeAutospacing="0" w:after="0" w:afterAutospacing="0" w:line="560" w:lineRule="exact"/>
        <w:ind w:left="0" w:right="0" w:firstLine="56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（二）强化工作监管。各区应加强养殖环节病死动物的收集暂存管理，确保病死动物得到及时收集，组织动物卫生监督机构加强对无害化处理厂的监督检查，确保收集的病死动物全部按要求进行无害化处理。</w:t>
      </w:r>
    </w:p>
    <w:p>
      <w:pPr>
        <w:keepNext w:val="0"/>
        <w:keepLines w:val="0"/>
        <w:widowControl w:val="0"/>
        <w:numPr>
          <w:ilvl w:val="0"/>
          <w:numId w:val="0"/>
        </w:numPr>
        <w:suppressLineNumbers w:val="0"/>
        <w:spacing w:before="0" w:beforeAutospacing="0" w:after="0" w:afterAutospacing="0" w:line="560" w:lineRule="exact"/>
        <w:ind w:left="0" w:right="0" w:firstLine="56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i w:val="0"/>
          <w:caps w:val="0"/>
          <w:spacing w:val="0"/>
          <w:kern w:val="2"/>
          <w:sz w:val="32"/>
          <w:szCs w:val="32"/>
          <w:shd w:val="clear" w:color="auto" w:fill="auto"/>
          <w:vertAlign w:val="baseline"/>
          <w:lang w:val="en-US" w:eastAsia="zh-CN" w:bidi="ar"/>
        </w:rPr>
        <w:t>（三）严格资金管理。</w:t>
      </w:r>
      <w:r>
        <w:rPr>
          <w:rFonts w:hint="eastAsia" w:ascii="CESI仿宋-GB2312" w:hAnsi="CESI仿宋-GB2312" w:eastAsia="CESI仿宋-GB2312" w:cs="CESI仿宋-GB2312"/>
          <w:i w:val="0"/>
          <w:caps w:val="0"/>
          <w:spacing w:val="0"/>
          <w:kern w:val="2"/>
          <w:sz w:val="32"/>
          <w:szCs w:val="32"/>
          <w:shd w:val="clear" w:color="auto" w:fill="auto"/>
          <w:vertAlign w:val="baseline"/>
          <w:lang w:val="en-US" w:eastAsia="zh-CN" w:bidi="ar"/>
        </w:rPr>
        <w:t>财政部门要加强对补助资金的监管，确保专款专用，防止出现截留、挤占、挪用资金等违规行为。对骗取、套取补助资金的单位和个人，一经查实，要依法依规严肃处理，并追回相关资金。</w:t>
      </w:r>
    </w:p>
    <w:p>
      <w:pPr>
        <w:keepNext w:val="0"/>
        <w:keepLines w:val="0"/>
        <w:widowControl w:val="0"/>
        <w:numPr>
          <w:ilvl w:val="0"/>
          <w:numId w:val="0"/>
        </w:numPr>
        <w:suppressLineNumbers w:val="0"/>
        <w:spacing w:before="0" w:beforeAutospacing="0" w:after="0" w:afterAutospacing="0" w:line="560" w:lineRule="exact"/>
        <w:ind w:left="0" w:right="0" w:firstLine="56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i w:val="0"/>
          <w:caps w:val="0"/>
          <w:spacing w:val="0"/>
          <w:kern w:val="2"/>
          <w:sz w:val="32"/>
          <w:szCs w:val="32"/>
          <w:shd w:val="clear" w:color="auto" w:fill="auto"/>
          <w:vertAlign w:val="baseline"/>
          <w:lang w:val="en-US" w:eastAsia="zh-CN" w:bidi="ar"/>
        </w:rPr>
        <w:t>（四）开展绩效评价。</w:t>
      </w:r>
      <w:r>
        <w:rPr>
          <w:rFonts w:hint="eastAsia" w:ascii="CESI仿宋-GB2312" w:hAnsi="CESI仿宋-GB2312" w:eastAsia="CESI仿宋-GB2312" w:cs="CESI仿宋-GB2312"/>
          <w:sz w:val="32"/>
          <w:szCs w:val="32"/>
          <w:lang w:eastAsia="zh-CN"/>
        </w:rPr>
        <w:t>项目单位应根据农、财两部及本级财政部门管理要求，</w:t>
      </w:r>
      <w:r>
        <w:rPr>
          <w:rFonts w:hint="eastAsia" w:ascii="CESI仿宋-GB2312" w:hAnsi="CESI仿宋-GB2312" w:eastAsia="CESI仿宋-GB2312" w:cs="CESI仿宋-GB2312"/>
          <w:i w:val="0"/>
          <w:caps w:val="0"/>
          <w:spacing w:val="0"/>
          <w:kern w:val="2"/>
          <w:sz w:val="32"/>
          <w:szCs w:val="32"/>
          <w:shd w:val="clear" w:color="auto" w:fill="auto"/>
          <w:vertAlign w:val="baseline"/>
          <w:lang w:val="en-US" w:eastAsia="zh-CN" w:bidi="ar"/>
        </w:rPr>
        <w:t>组织开展项目总结、项目绩效自评等工作，对项目实施情况、资金使用情况等进行评估，将绩效评价结果与下一年度资金分配挂钩，切实提高财政资金使用效益。</w:t>
      </w:r>
    </w:p>
    <w:p>
      <w:pPr>
        <w:keepNext w:val="0"/>
        <w:keepLines w:val="0"/>
        <w:widowControl w:val="0"/>
        <w:numPr>
          <w:ilvl w:val="0"/>
          <w:numId w:val="0"/>
        </w:numPr>
        <w:suppressLineNumbers w:val="0"/>
        <w:spacing w:before="0" w:beforeAutospacing="0" w:after="0" w:afterAutospacing="0" w:line="560" w:lineRule="exact"/>
        <w:ind w:left="0" w:right="0" w:firstLine="560"/>
        <w:textAlignment w:val="auto"/>
      </w:pPr>
      <w:r>
        <w:rPr>
          <w:rFonts w:hint="eastAsia" w:ascii="CESI仿宋-GB2312" w:hAnsi="CESI仿宋-GB2312" w:eastAsia="CESI仿宋-GB2312" w:cs="CESI仿宋-GB2312"/>
          <w:b w:val="0"/>
          <w:i w:val="0"/>
          <w:caps w:val="0"/>
          <w:spacing w:val="0"/>
          <w:kern w:val="2"/>
          <w:sz w:val="32"/>
          <w:szCs w:val="32"/>
          <w:shd w:val="clear" w:color="auto" w:fill="auto"/>
          <w:vertAlign w:val="baseline"/>
          <w:lang w:val="en-US" w:eastAsia="zh-CN" w:bidi="ar"/>
        </w:rPr>
        <w:t>（五）信息公开公示。</w:t>
      </w:r>
      <w:r>
        <w:rPr>
          <w:rFonts w:hint="eastAsia" w:ascii="CESI仿宋-GB2312" w:hAnsi="CESI仿宋-GB2312" w:eastAsia="CESI仿宋-GB2312" w:cs="CESI仿宋-GB2312"/>
          <w:i w:val="0"/>
          <w:caps w:val="0"/>
          <w:spacing w:val="0"/>
          <w:kern w:val="2"/>
          <w:sz w:val="32"/>
          <w:szCs w:val="32"/>
          <w:shd w:val="clear" w:color="auto" w:fill="auto"/>
          <w:vertAlign w:val="baseline"/>
          <w:lang w:val="en-US" w:eastAsia="zh-CN" w:bidi="ar"/>
        </w:rPr>
        <w:t>项目单位按照相关规定做好项目实施方案等的公开公示，接受社会监督，提高项目实施的透明度。</w:t>
      </w:r>
    </w:p>
    <w:p>
      <w:pPr>
        <w:adjustRightInd w:val="0"/>
        <w:snapToGrid w:val="0"/>
        <w:spacing w:line="560" w:lineRule="exact"/>
        <w:ind w:firstLine="960" w:firstLineChars="3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F111"/>
    <w:multiLevelType w:val="singleLevel"/>
    <w:tmpl w:val="F7F7F1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F8B"/>
    <w:rsid w:val="008547D4"/>
    <w:rsid w:val="00A32F8B"/>
    <w:rsid w:val="15FE00B5"/>
    <w:rsid w:val="629B4ED1"/>
    <w:rsid w:val="77BA9B65"/>
    <w:rsid w:val="7DED518D"/>
    <w:rsid w:val="7FFF8189"/>
    <w:rsid w:val="BDCF4985"/>
    <w:rsid w:val="DB6F8C2E"/>
    <w:rsid w:val="DBE7942B"/>
    <w:rsid w:val="E9FF2D9D"/>
    <w:rsid w:val="F6F13701"/>
    <w:rsid w:val="FC7F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制度章标题"/>
    <w:basedOn w:val="1"/>
    <w:qFormat/>
    <w:uiPriority w:val="0"/>
    <w:pPr>
      <w:widowControl/>
      <w:snapToGrid w:val="0"/>
      <w:spacing w:line="360" w:lineRule="auto"/>
      <w:ind w:firstLine="736" w:firstLineChars="229"/>
    </w:pPr>
    <w:rPr>
      <w:rFonts w:ascii="楷体_GB2312" w:hAnsi="华文中宋" w:eastAsia="楷体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98</Words>
  <Characters>565</Characters>
  <Lines>4</Lines>
  <Paragraphs>1</Paragraphs>
  <TotalTime>1</TotalTime>
  <ScaleCrop>false</ScaleCrop>
  <LinksUpToDate>false</LinksUpToDate>
  <CharactersWithSpaces>662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2019-04-11T17:24:00Z</dcterms:created>
  <dc:creator>Administrator</dc:creator>
  <cp:lastModifiedBy>nyncj</cp:lastModifiedBy>
  <cp:lastPrinted>2024-06-24T17:29:00Z</cp:lastPrinted>
  <dcterms:modified xsi:type="dcterms:W3CDTF">2025-06-03T09:54:15Z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