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4153"/>
          <w:tab w:val="right" w:pos="8306"/>
        </w:tabs>
        <w:kinsoku/>
        <w:wordWrap/>
        <w:overflowPunct/>
        <w:topLinePunct w:val="0"/>
        <w:autoSpaceDE/>
        <w:autoSpaceDN/>
        <w:bidi w:val="0"/>
        <w:spacing w:line="520" w:lineRule="exact"/>
        <w:jc w:val="left"/>
        <w:textAlignment w:val="auto"/>
        <w:rPr>
          <w:rFonts w:hint="eastAsia" w:ascii="宋体" w:hAnsi="宋体" w:eastAsia="宋体" w:cs="宋体"/>
          <w:b/>
          <w:sz w:val="44"/>
          <w:szCs w:val="44"/>
          <w:lang w:val="en-US" w:eastAsia="zh-CN"/>
        </w:rPr>
      </w:pPr>
      <w:r>
        <w:rPr>
          <w:rFonts w:ascii="仿宋" w:hAnsi="仿宋" w:eastAsia="仿宋"/>
          <w:b/>
          <w:sz w:val="36"/>
          <w:szCs w:val="32"/>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rPr>
        <w:t>20</w:t>
      </w:r>
      <w:r>
        <w:rPr>
          <w:rFonts w:hint="eastAsia" w:ascii="宋体" w:hAnsi="宋体" w:eastAsia="宋体" w:cs="宋体"/>
          <w:b/>
          <w:sz w:val="44"/>
          <w:szCs w:val="44"/>
          <w:lang w:val="en-US" w:eastAsia="zh-CN"/>
        </w:rPr>
        <w:t>25</w:t>
      </w:r>
      <w:r>
        <w:rPr>
          <w:rFonts w:hint="eastAsia" w:ascii="宋体" w:hAnsi="宋体" w:eastAsia="宋体" w:cs="宋体"/>
          <w:b/>
          <w:sz w:val="44"/>
          <w:szCs w:val="44"/>
        </w:rPr>
        <w:t>年</w:t>
      </w:r>
      <w:r>
        <w:rPr>
          <w:rFonts w:hint="eastAsia" w:ascii="宋体" w:hAnsi="宋体" w:eastAsia="宋体" w:cs="宋体"/>
          <w:b/>
          <w:sz w:val="44"/>
          <w:szCs w:val="44"/>
          <w:lang w:val="en-US" w:eastAsia="zh-CN"/>
        </w:rPr>
        <w:t>远洋渔业相关项目</w:t>
      </w:r>
      <w:r>
        <w:rPr>
          <w:rFonts w:hint="eastAsia" w:ascii="宋体" w:hAnsi="宋体" w:eastAsia="宋体" w:cs="宋体"/>
          <w:b/>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为贯彻落实国家“十四五”期间渔业发展支持政策，</w:t>
      </w:r>
      <w:r>
        <w:rPr>
          <w:rFonts w:hint="eastAsia" w:ascii="仿宋_GB2312" w:hAnsi="仿宋_GB2312" w:eastAsia="仿宋_GB2312" w:cs="仿宋_GB2312"/>
          <w:sz w:val="32"/>
          <w:szCs w:val="32"/>
          <w:lang w:eastAsia="zh-CN"/>
        </w:rPr>
        <w:t>加强远洋渔业生产管理，</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财政部《关于下达2025年农业产业发展资金预算的通知》（财农〔2025〕13号）、北京市财政局《关于下达2025年第二批农业产业发展资金预算的通知》（京财农指〔2025〕1147号）及农业农村部渔业渔政管理局相关</w:t>
      </w:r>
      <w:r>
        <w:rPr>
          <w:rFonts w:hint="eastAsia" w:ascii="仿宋_GB2312" w:hAnsi="仿宋_GB2312" w:eastAsia="仿宋_GB2312" w:cs="仿宋_GB2312"/>
          <w:sz w:val="32"/>
          <w:szCs w:val="32"/>
        </w:rPr>
        <w:t>要求，结合我市实际，制定本实施方案。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推进远洋渔业高质量发展，进一步提升远洋渔船装备机械化、信息化、智能化水平，加强安全生产，保障渔船和船员生命财产安全。认真履行国际义务，提高国际履约能力，展示负责任国家形象。丰富我市水产品市场。</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二、实施内容</w:t>
      </w:r>
    </w:p>
    <w:p>
      <w:pPr>
        <w:widowControl/>
        <w:spacing w:line="560" w:lineRule="exact"/>
        <w:ind w:firstLine="480"/>
        <w:textAlignment w:val="baseline"/>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（一）实施范围</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北京首农食品集团所属北京水产集团下属</w:t>
      </w:r>
      <w:r>
        <w:rPr>
          <w:rFonts w:hint="eastAsia" w:ascii="仿宋_GB2312" w:hAnsi="仿宋_GB2312" w:eastAsia="仿宋_GB2312" w:cs="仿宋_GB2312"/>
          <w:sz w:val="32"/>
          <w:szCs w:val="32"/>
        </w:rPr>
        <w:t>全资企业烟台京远渔业有限公司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w:t>
      </w:r>
      <w:r>
        <w:rPr>
          <w:rFonts w:hint="eastAsia" w:ascii="仿宋_GB2312" w:hAnsi="仿宋_GB2312" w:eastAsia="仿宋_GB2312" w:cs="仿宋_GB2312"/>
          <w:sz w:val="32"/>
          <w:szCs w:val="32"/>
        </w:rPr>
        <w:t>京远渔业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）为我市唯一一家远洋渔业企业，上一年度年审评分较高，承担船上设备更新改造和履约能力提升项目。</w:t>
      </w:r>
    </w:p>
    <w:p>
      <w:pPr>
        <w:widowControl/>
        <w:spacing w:line="560" w:lineRule="exact"/>
        <w:ind w:firstLine="480"/>
        <w:textAlignment w:val="baseline"/>
        <w:rPr>
          <w:rFonts w:hint="eastAsia" w:ascii="楷体_GB2312" w:hAnsi="楷体_GB2312" w:eastAsia="楷体_GB2312" w:cs="楷体_GB2312"/>
          <w:bCs/>
          <w:kern w:val="0"/>
          <w:sz w:val="32"/>
          <w:szCs w:val="32"/>
          <w:lang w:eastAsia="zh-CN"/>
        </w:rPr>
      </w:pPr>
      <w:r>
        <w:rPr>
          <w:rFonts w:hint="eastAsia" w:ascii="楷体_GB2312" w:hAnsi="楷体_GB2312" w:eastAsia="楷体_GB2312" w:cs="楷体_GB2312"/>
          <w:bCs/>
          <w:kern w:val="0"/>
          <w:sz w:val="32"/>
          <w:szCs w:val="32"/>
        </w:rPr>
        <w:t>（</w:t>
      </w:r>
      <w:r>
        <w:rPr>
          <w:rFonts w:hint="eastAsia" w:ascii="楷体_GB2312" w:hAnsi="楷体_GB2312" w:eastAsia="楷体_GB2312" w:cs="楷体_GB2312"/>
          <w:bCs/>
          <w:kern w:val="0"/>
          <w:sz w:val="32"/>
          <w:szCs w:val="32"/>
          <w:lang w:eastAsia="zh-CN"/>
        </w:rPr>
        <w:t>二</w:t>
      </w:r>
      <w:r>
        <w:rPr>
          <w:rFonts w:hint="eastAsia" w:ascii="楷体_GB2312" w:hAnsi="楷体_GB2312" w:eastAsia="楷体_GB2312" w:cs="楷体_GB2312"/>
          <w:bCs/>
          <w:kern w:val="0"/>
          <w:sz w:val="32"/>
          <w:szCs w:val="32"/>
        </w:rPr>
        <w:t>）</w:t>
      </w:r>
      <w:r>
        <w:rPr>
          <w:rFonts w:hint="eastAsia" w:ascii="楷体_GB2312" w:hAnsi="楷体_GB2312" w:eastAsia="楷体_GB2312" w:cs="楷体_GB2312"/>
          <w:bCs/>
          <w:kern w:val="0"/>
          <w:sz w:val="32"/>
          <w:szCs w:val="32"/>
          <w:lang w:eastAsia="zh-CN"/>
        </w:rPr>
        <w:t>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烟台</w:t>
      </w:r>
      <w:r>
        <w:rPr>
          <w:rFonts w:hint="eastAsia" w:ascii="仿宋_GB2312" w:hAnsi="仿宋_GB2312" w:eastAsia="仿宋_GB2312" w:cs="仿宋_GB2312"/>
          <w:sz w:val="32"/>
          <w:szCs w:val="32"/>
        </w:rPr>
        <w:t>京远渔业公司远洋渔船的设施设备更新改造及其和远洋渔业履约能力的提升。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补助资金使用具体安排如下：</w:t>
      </w:r>
    </w:p>
    <w:tbl>
      <w:tblPr>
        <w:tblStyle w:val="7"/>
        <w:tblW w:w="8474"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05"/>
        <w:gridCol w:w="465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32"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序号</w:t>
            </w:r>
          </w:p>
        </w:tc>
        <w:tc>
          <w:tcPr>
            <w:tcW w:w="1605"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项目名称</w:t>
            </w:r>
          </w:p>
        </w:tc>
        <w:tc>
          <w:tcPr>
            <w:tcW w:w="465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项目主要内容</w:t>
            </w:r>
          </w:p>
        </w:tc>
        <w:tc>
          <w:tcPr>
            <w:tcW w:w="1487"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资金安排</w:t>
            </w:r>
          </w:p>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732"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1</w:t>
            </w:r>
          </w:p>
        </w:tc>
        <w:tc>
          <w:tcPr>
            <w:tcW w:w="1605"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lang w:eastAsia="zh-CN"/>
              </w:rPr>
              <w:t>船上设备</w:t>
            </w:r>
            <w:r>
              <w:rPr>
                <w:rFonts w:hint="eastAsia" w:ascii="CESI仿宋-GB2312" w:hAnsi="CESI仿宋-GB2312" w:eastAsia="CESI仿宋-GB2312" w:cs="CESI仿宋-GB2312"/>
                <w:b w:val="0"/>
                <w:bCs w:val="0"/>
                <w:sz w:val="30"/>
                <w:szCs w:val="30"/>
              </w:rPr>
              <w:t>更新改造</w:t>
            </w:r>
          </w:p>
        </w:tc>
        <w:tc>
          <w:tcPr>
            <w:tcW w:w="4650" w:type="dxa"/>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远洋渔船设施设备更新改造进行补助</w:t>
            </w:r>
          </w:p>
        </w:tc>
        <w:tc>
          <w:tcPr>
            <w:tcW w:w="1487"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CESI仿宋-GB2312" w:hAnsi="CESI仿宋-GB2312" w:eastAsia="CESI仿宋-GB2312" w:cs="CESI仿宋-GB2312"/>
                <w:b w:val="0"/>
                <w:bCs w:val="0"/>
                <w:sz w:val="30"/>
                <w:szCs w:val="30"/>
                <w:lang w:val="en-US" w:eastAsia="zh-CN"/>
              </w:rPr>
            </w:pPr>
            <w:r>
              <w:rPr>
                <w:rFonts w:hint="eastAsia" w:ascii="CESI仿宋-GB2312" w:hAnsi="CESI仿宋-GB2312" w:eastAsia="CESI仿宋-GB2312" w:cs="CESI仿宋-GB2312"/>
                <w:b w:val="0"/>
                <w:bCs w:val="0"/>
                <w:sz w:val="30"/>
                <w:szCs w:val="3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32"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2</w:t>
            </w:r>
          </w:p>
        </w:tc>
        <w:tc>
          <w:tcPr>
            <w:tcW w:w="1605"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rPr>
              <w:t>国际履约能力提升</w:t>
            </w:r>
          </w:p>
        </w:tc>
        <w:tc>
          <w:tcPr>
            <w:tcW w:w="4650" w:type="dxa"/>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b w:val="0"/>
                <w:bCs w:val="0"/>
                <w:sz w:val="30"/>
                <w:szCs w:val="30"/>
                <w:lang w:eastAsia="zh-CN"/>
              </w:rPr>
              <w:t>对</w:t>
            </w:r>
            <w:r>
              <w:rPr>
                <w:rFonts w:hint="eastAsia" w:ascii="CESI仿宋-GB2312" w:hAnsi="CESI仿宋-GB2312" w:eastAsia="CESI仿宋-GB2312" w:cs="CESI仿宋-GB2312"/>
                <w:b w:val="0"/>
                <w:bCs w:val="0"/>
                <w:sz w:val="30"/>
                <w:szCs w:val="30"/>
              </w:rPr>
              <w:t>履行国际公约养护国际渔业资源的</w:t>
            </w:r>
            <w:r>
              <w:rPr>
                <w:rFonts w:hint="eastAsia" w:ascii="CESI仿宋-GB2312" w:hAnsi="CESI仿宋-GB2312" w:eastAsia="CESI仿宋-GB2312" w:cs="CESI仿宋-GB2312"/>
                <w:b w:val="0"/>
                <w:bCs w:val="0"/>
                <w:sz w:val="30"/>
                <w:szCs w:val="30"/>
                <w:lang w:val="en-US" w:eastAsia="zh-CN"/>
              </w:rPr>
              <w:t>8艘</w:t>
            </w:r>
            <w:r>
              <w:rPr>
                <w:rFonts w:hint="eastAsia" w:ascii="CESI仿宋-GB2312" w:hAnsi="CESI仿宋-GB2312" w:eastAsia="CESI仿宋-GB2312" w:cs="CESI仿宋-GB2312"/>
                <w:b w:val="0"/>
                <w:bCs w:val="0"/>
                <w:sz w:val="30"/>
                <w:szCs w:val="30"/>
              </w:rPr>
              <w:t>远洋渔船进行补助</w:t>
            </w:r>
          </w:p>
        </w:tc>
        <w:tc>
          <w:tcPr>
            <w:tcW w:w="1487"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CESI仿宋-GB2312" w:hAnsi="CESI仿宋-GB2312" w:eastAsia="CESI仿宋-GB2312" w:cs="CESI仿宋-GB2312"/>
                <w:b w:val="0"/>
                <w:bCs w:val="0"/>
                <w:sz w:val="30"/>
                <w:szCs w:val="30"/>
                <w:lang w:val="en-US" w:eastAsia="zh-CN"/>
              </w:rPr>
            </w:pPr>
            <w:r>
              <w:rPr>
                <w:rFonts w:hint="eastAsia" w:ascii="CESI仿宋-GB2312" w:hAnsi="CESI仿宋-GB2312" w:eastAsia="CESI仿宋-GB2312" w:cs="CESI仿宋-GB2312"/>
                <w:b w:val="0"/>
                <w:bCs w:val="0"/>
                <w:sz w:val="30"/>
                <w:szCs w:val="30"/>
                <w:lang w:val="en-US" w:eastAsia="zh-CN"/>
              </w:rPr>
              <w:t>1343</w:t>
            </w:r>
          </w:p>
        </w:tc>
      </w:tr>
    </w:tbl>
    <w:p>
      <w:pPr>
        <w:spacing w:line="560" w:lineRule="exac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lang w:eastAsia="zh-CN"/>
        </w:rPr>
        <w:t>远洋渔船船上设施设备更新改造，需优先完成视频剑客设备配备，安装标准参照《远洋渔船视频监控设备基本要求》（见附件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）执行。</w:t>
      </w:r>
    </w:p>
    <w:p>
      <w:pPr>
        <w:spacing w:line="560" w:lineRule="exact"/>
        <w:rPr>
          <w:rFonts w:ascii="黑体" w:hAnsi="黑体" w:eastAsia="黑体" w:cs="黑体"/>
          <w:sz w:val="32"/>
          <w:szCs w:val="32"/>
        </w:rPr>
      </w:pPr>
      <w:r>
        <w:rPr>
          <w:rFonts w:hint="eastAsia" w:ascii="黑体" w:hAnsi="黑体" w:eastAsia="黑体" w:cs="黑体"/>
          <w:sz w:val="32"/>
          <w:szCs w:val="32"/>
        </w:rPr>
        <w:t>三、具体安排</w:t>
      </w:r>
    </w:p>
    <w:p>
      <w:pPr>
        <w:widowControl/>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Cs/>
          <w:kern w:val="0"/>
          <w:sz w:val="32"/>
          <w:szCs w:val="32"/>
        </w:rPr>
        <w:t>（一）制定方案</w:t>
      </w:r>
      <w:r>
        <w:rPr>
          <w:rFonts w:hint="eastAsia" w:ascii="楷体_GB2312" w:hAnsi="楷体_GB2312" w:eastAsia="楷体_GB2312" w:cs="楷体_GB2312"/>
          <w:bCs/>
          <w:kern w:val="0"/>
          <w:sz w:val="32"/>
          <w:szCs w:val="32"/>
          <w:lang w:eastAsia="zh-CN"/>
        </w:rPr>
        <w:t>。</w:t>
      </w:r>
      <w:r>
        <w:rPr>
          <w:rFonts w:hint="eastAsia" w:ascii="仿宋_GB2312" w:hAnsi="仿宋_GB2312" w:eastAsia="仿宋_GB2312" w:cs="仿宋_GB2312"/>
          <w:sz w:val="32"/>
          <w:szCs w:val="32"/>
          <w:lang w:val="en-US" w:eastAsia="zh-CN"/>
        </w:rPr>
        <w:t>北京首农食品集团</w:t>
      </w:r>
      <w:r>
        <w:rPr>
          <w:rFonts w:hint="eastAsia" w:ascii="仿宋_GB2312" w:hAnsi="仿宋_GB2312" w:eastAsia="仿宋_GB2312" w:cs="仿宋_GB2312"/>
          <w:sz w:val="32"/>
          <w:szCs w:val="32"/>
          <w:lang w:eastAsia="zh-CN"/>
        </w:rPr>
        <w:t>制定具体实施方案并公示，报市农业农村局备案。</w:t>
      </w:r>
    </w:p>
    <w:p>
      <w:pPr>
        <w:widowControl/>
        <w:spacing w:line="560" w:lineRule="exact"/>
        <w:ind w:firstLine="642"/>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Cs/>
          <w:kern w:val="0"/>
          <w:sz w:val="32"/>
          <w:szCs w:val="32"/>
        </w:rPr>
        <w:t>（</w:t>
      </w:r>
      <w:r>
        <w:rPr>
          <w:rFonts w:hint="eastAsia" w:ascii="楷体_GB2312" w:hAnsi="楷体_GB2312" w:eastAsia="楷体_GB2312" w:cs="楷体_GB2312"/>
          <w:bCs/>
          <w:kern w:val="0"/>
          <w:sz w:val="32"/>
          <w:szCs w:val="32"/>
          <w:lang w:eastAsia="zh-CN"/>
        </w:rPr>
        <w:t>二</w:t>
      </w:r>
      <w:r>
        <w:rPr>
          <w:rFonts w:hint="eastAsia" w:ascii="楷体_GB2312" w:hAnsi="楷体_GB2312" w:eastAsia="楷体_GB2312" w:cs="楷体_GB2312"/>
          <w:bCs/>
          <w:kern w:val="0"/>
          <w:sz w:val="32"/>
          <w:szCs w:val="32"/>
        </w:rPr>
        <w:t>）项目实施。</w:t>
      </w:r>
      <w:r>
        <w:rPr>
          <w:rFonts w:hint="eastAsia" w:ascii="仿宋_GB2312" w:hAnsi="仿宋_GB2312" w:eastAsia="仿宋_GB2312" w:cs="仿宋_GB2312"/>
          <w:sz w:val="32"/>
          <w:szCs w:val="32"/>
          <w:lang w:val="en-US" w:eastAsia="zh-CN"/>
        </w:rPr>
        <w:t>北京首农食品集团</w:t>
      </w:r>
      <w:r>
        <w:rPr>
          <w:rFonts w:hint="eastAsia" w:ascii="仿宋_GB2312" w:hAnsi="仿宋_GB2312" w:eastAsia="仿宋_GB2312" w:cs="仿宋_GB2312"/>
          <w:sz w:val="32"/>
          <w:szCs w:val="32"/>
        </w:rPr>
        <w:t>按照项目实施方案</w:t>
      </w:r>
      <w:r>
        <w:rPr>
          <w:rFonts w:hint="eastAsia" w:ascii="仿宋_GB2312" w:hAnsi="仿宋_GB2312" w:eastAsia="仿宋_GB2312" w:cs="仿宋_GB2312"/>
          <w:sz w:val="32"/>
          <w:szCs w:val="32"/>
          <w:lang w:eastAsia="zh-CN"/>
        </w:rPr>
        <w:t>开展相关工作</w:t>
      </w:r>
      <w:r>
        <w:rPr>
          <w:rFonts w:hint="eastAsia" w:ascii="仿宋_GB2312" w:hAnsi="仿宋_GB2312" w:eastAsia="仿宋_GB2312" w:cs="仿宋_GB2312"/>
          <w:sz w:val="32"/>
          <w:szCs w:val="32"/>
        </w:rPr>
        <w:t>。市农业农村局对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内容、进度、资金使用等情况进行督查。项目实施应在20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前完成。</w:t>
      </w:r>
    </w:p>
    <w:p>
      <w:pPr>
        <w:widowControl/>
        <w:spacing w:line="560" w:lineRule="exact"/>
        <w:textAlignment w:val="baseline"/>
        <w:rPr>
          <w:rFonts w:hint="eastAsia" w:ascii="仿宋_GB2312" w:hAnsi="仿宋_GB2312" w:eastAsia="仿宋_GB2312" w:cs="仿宋_GB2312"/>
          <w:sz w:val="32"/>
          <w:szCs w:val="32"/>
        </w:rPr>
      </w:pPr>
      <w:r>
        <w:rPr>
          <w:rFonts w:hint="eastAsia" w:ascii="仿宋" w:hAnsi="仿宋" w:eastAsia="仿宋" w:cs="仿宋"/>
          <w:b/>
          <w:bCs/>
          <w:kern w:val="0"/>
          <w:sz w:val="32"/>
          <w:szCs w:val="32"/>
        </w:rPr>
        <w:t xml:space="preserve">   </w:t>
      </w:r>
      <w:r>
        <w:rPr>
          <w:rFonts w:hint="eastAsia" w:ascii="楷体_GB2312" w:hAnsi="楷体_GB2312" w:eastAsia="楷体_GB2312" w:cs="楷体_GB2312"/>
          <w:bCs/>
          <w:kern w:val="0"/>
          <w:sz w:val="32"/>
          <w:szCs w:val="32"/>
        </w:rPr>
        <w:t xml:space="preserve"> （</w:t>
      </w:r>
      <w:r>
        <w:rPr>
          <w:rFonts w:hint="eastAsia" w:ascii="楷体_GB2312" w:hAnsi="楷体_GB2312" w:eastAsia="楷体_GB2312" w:cs="楷体_GB2312"/>
          <w:bCs/>
          <w:kern w:val="0"/>
          <w:sz w:val="32"/>
          <w:szCs w:val="32"/>
          <w:lang w:eastAsia="zh-CN"/>
        </w:rPr>
        <w:t>三</w:t>
      </w:r>
      <w:r>
        <w:rPr>
          <w:rFonts w:hint="eastAsia" w:ascii="楷体_GB2312" w:hAnsi="楷体_GB2312" w:eastAsia="楷体_GB2312" w:cs="楷体_GB2312"/>
          <w:bCs/>
          <w:kern w:val="0"/>
          <w:sz w:val="32"/>
          <w:szCs w:val="32"/>
        </w:rPr>
        <w:t>）项目总结与绩效自评。</w:t>
      </w:r>
      <w:r>
        <w:rPr>
          <w:rFonts w:hint="eastAsia" w:ascii="仿宋_GB2312" w:hAnsi="仿宋_GB2312" w:eastAsia="仿宋_GB2312" w:cs="仿宋_GB2312"/>
          <w:sz w:val="32"/>
          <w:szCs w:val="32"/>
          <w:lang w:val="en-US" w:eastAsia="zh-CN"/>
        </w:rPr>
        <w:t>北</w:t>
      </w:r>
      <w:r>
        <w:rPr>
          <w:rFonts w:hint="eastAsia" w:ascii="仿宋_GB2312" w:hAnsi="仿宋_GB2312" w:eastAsia="仿宋_GB2312" w:cs="仿宋_GB2312"/>
          <w:sz w:val="32"/>
          <w:szCs w:val="32"/>
          <w:lang w:val="en-US" w:eastAsia="zh-CN"/>
        </w:rPr>
        <w:t>京首农食品集团</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2025年12月底之前</w:t>
      </w:r>
      <w:r>
        <w:rPr>
          <w:rFonts w:hint="eastAsia" w:ascii="仿宋_GB2312" w:hAnsi="仿宋_GB2312" w:eastAsia="仿宋_GB2312" w:cs="仿宋_GB2312"/>
          <w:sz w:val="32"/>
          <w:szCs w:val="32"/>
        </w:rPr>
        <w:t>将项目实施的总结、绩效自评</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材料报市农业农村局。</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700" w:firstLineChars="200"/>
        <w:jc w:val="both"/>
        <w:textAlignment w:val="auto"/>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lang w:eastAsia="zh-CN"/>
        </w:rPr>
        <w:t>四、</w:t>
      </w:r>
      <w:r>
        <w:rPr>
          <w:rFonts w:hint="eastAsia" w:ascii="黑体" w:hAnsi="黑体" w:eastAsia="黑体" w:cs="黑体"/>
          <w:b w:val="0"/>
          <w:bCs w:val="0"/>
          <w:spacing w:val="15"/>
          <w:sz w:val="32"/>
          <w:szCs w:val="32"/>
        </w:rPr>
        <w:t>保障措施</w:t>
      </w:r>
    </w:p>
    <w:p>
      <w:pPr>
        <w:keepNext w:val="0"/>
        <w:keepLines w:val="0"/>
        <w:pageBreakBefore w:val="0"/>
        <w:tabs>
          <w:tab w:val="left" w:pos="2490"/>
        </w:tabs>
        <w:kinsoku/>
        <w:wordWrap/>
        <w:overflowPunct/>
        <w:topLinePunct w:val="0"/>
        <w:autoSpaceDE/>
        <w:autoSpaceDN/>
        <w:bidi w:val="0"/>
        <w:spacing w:line="560" w:lineRule="exact"/>
        <w:ind w:firstLine="630"/>
        <w:textAlignment w:val="auto"/>
        <w:rPr>
          <w:rFonts w:hint="eastAsia" w:ascii="仿宋_GB2312" w:hAnsi="仿宋_GB2312" w:eastAsia="仿宋_GB2312" w:cs="仿宋_GB2312"/>
          <w:sz w:val="32"/>
          <w:szCs w:val="32"/>
        </w:rPr>
      </w:pPr>
      <w:r>
        <w:rPr>
          <w:rFonts w:hint="eastAsia" w:ascii="楷体" w:hAnsi="楷体" w:eastAsia="楷体" w:cs="楷体"/>
          <w:b w:val="0"/>
          <w:bCs w:val="0"/>
          <w:spacing w:val="15"/>
          <w:sz w:val="32"/>
          <w:szCs w:val="32"/>
        </w:rPr>
        <w:t>（一）强化组织领导。</w:t>
      </w:r>
      <w:r>
        <w:rPr>
          <w:rFonts w:hint="eastAsia" w:ascii="仿宋_GB2312" w:hAnsi="仿宋_GB2312" w:eastAsia="仿宋_GB2312" w:cs="仿宋_GB2312"/>
          <w:sz w:val="32"/>
          <w:szCs w:val="32"/>
          <w:lang w:val="en-US" w:eastAsia="zh-CN"/>
        </w:rPr>
        <w:t>市农业</w:t>
      </w:r>
      <w:r>
        <w:rPr>
          <w:rFonts w:hint="eastAsia" w:ascii="仿宋_GB2312" w:hAnsi="仿宋_GB2312" w:eastAsia="仿宋_GB2312" w:cs="仿宋_GB2312"/>
          <w:sz w:val="32"/>
          <w:szCs w:val="32"/>
          <w:lang w:eastAsia="zh-CN"/>
        </w:rPr>
        <w:t>农村局加强对项目实施的监督管理，</w:t>
      </w:r>
      <w:r>
        <w:rPr>
          <w:rFonts w:hint="eastAsia" w:ascii="仿宋_GB2312" w:hAnsi="仿宋_GB2312" w:eastAsia="仿宋_GB2312" w:cs="仿宋_GB2312"/>
          <w:sz w:val="32"/>
          <w:szCs w:val="32"/>
          <w:lang w:val="en-US" w:eastAsia="zh-CN"/>
        </w:rPr>
        <w:t>北京首农食品集团</w:t>
      </w:r>
      <w:r>
        <w:rPr>
          <w:rFonts w:hint="eastAsia" w:ascii="仿宋_GB2312" w:hAnsi="仿宋_GB2312" w:eastAsia="仿宋_GB2312" w:cs="仿宋_GB2312"/>
          <w:sz w:val="32"/>
          <w:szCs w:val="32"/>
        </w:rPr>
        <w:t>加强组织领导</w:t>
      </w:r>
      <w:r>
        <w:rPr>
          <w:rFonts w:hint="eastAsia" w:ascii="仿宋_GB2312" w:hAnsi="仿宋_GB2312" w:eastAsia="仿宋_GB2312" w:cs="仿宋_GB2312"/>
          <w:sz w:val="32"/>
          <w:szCs w:val="32"/>
          <w:lang w:eastAsia="zh-CN"/>
        </w:rPr>
        <w:t>，成立项目领导小组，</w:t>
      </w:r>
      <w:r>
        <w:rPr>
          <w:rFonts w:hint="eastAsia" w:ascii="仿宋_GB2312" w:hAnsi="仿宋_GB2312" w:eastAsia="仿宋_GB2312" w:cs="仿宋_GB2312"/>
          <w:sz w:val="32"/>
          <w:szCs w:val="32"/>
        </w:rPr>
        <w:t>健全工作制度、创新工作机制、严格项目管理、规范资金使用。</w:t>
      </w:r>
    </w:p>
    <w:p>
      <w:pPr>
        <w:keepNext w:val="0"/>
        <w:keepLines w:val="0"/>
        <w:pageBreakBefore w:val="0"/>
        <w:tabs>
          <w:tab w:val="left" w:pos="2490"/>
        </w:tabs>
        <w:kinsoku/>
        <w:wordWrap/>
        <w:overflowPunct/>
        <w:topLinePunct w:val="0"/>
        <w:autoSpaceDE/>
        <w:autoSpaceDN/>
        <w:bidi w:val="0"/>
        <w:spacing w:line="560" w:lineRule="exact"/>
        <w:ind w:firstLine="630"/>
        <w:textAlignment w:val="auto"/>
        <w:rPr>
          <w:rFonts w:hint="eastAsia" w:ascii="仿宋_GB2312" w:hAnsi="仿宋_GB2312" w:eastAsia="仿宋_GB2312" w:cs="仿宋_GB2312"/>
          <w:sz w:val="32"/>
          <w:szCs w:val="32"/>
        </w:rPr>
      </w:pPr>
      <w:r>
        <w:rPr>
          <w:rFonts w:hint="eastAsia" w:ascii="楷体" w:hAnsi="楷体" w:eastAsia="楷体" w:cs="楷体"/>
          <w:b w:val="0"/>
          <w:bCs w:val="0"/>
          <w:spacing w:val="15"/>
          <w:sz w:val="32"/>
          <w:szCs w:val="32"/>
        </w:rPr>
        <w:t>（二）加强宣传引导。</w:t>
      </w:r>
      <w:r>
        <w:rPr>
          <w:rFonts w:hint="eastAsia" w:ascii="仿宋_GB2312" w:hAnsi="仿宋_GB2312" w:eastAsia="仿宋_GB2312" w:cs="仿宋_GB2312"/>
          <w:sz w:val="32"/>
          <w:szCs w:val="32"/>
        </w:rPr>
        <w:t>采取多种方式的宣传引导，</w:t>
      </w:r>
      <w:r>
        <w:rPr>
          <w:rFonts w:hint="eastAsia" w:ascii="仿宋_GB2312" w:hAnsi="仿宋_GB2312" w:eastAsia="仿宋_GB2312" w:cs="仿宋_GB2312"/>
          <w:sz w:val="32"/>
          <w:szCs w:val="32"/>
          <w:lang w:eastAsia="zh-CN"/>
        </w:rPr>
        <w:t>加强远洋渔船及船员安全管理，进一步</w:t>
      </w:r>
      <w:r>
        <w:rPr>
          <w:rFonts w:hint="eastAsia" w:ascii="仿宋_GB2312" w:hAnsi="仿宋_GB2312" w:eastAsia="仿宋_GB2312" w:cs="仿宋_GB2312"/>
          <w:sz w:val="32"/>
          <w:szCs w:val="32"/>
        </w:rPr>
        <w:t>提升国际履</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rPr>
        <w:t>能力。</w:t>
      </w:r>
    </w:p>
    <w:p>
      <w:pPr>
        <w:keepNext w:val="0"/>
        <w:keepLines w:val="0"/>
        <w:pageBreakBefore w:val="0"/>
        <w:kinsoku/>
        <w:wordWrap/>
        <w:overflowPunct/>
        <w:topLinePunct w:val="0"/>
        <w:autoSpaceDE/>
        <w:autoSpaceDN/>
        <w:bidi w:val="0"/>
        <w:spacing w:line="560" w:lineRule="exact"/>
        <w:ind w:firstLine="70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pacing w:val="15"/>
          <w:sz w:val="32"/>
          <w:szCs w:val="32"/>
        </w:rPr>
        <w:t>（三）强化监督检查。</w:t>
      </w:r>
      <w:r>
        <w:rPr>
          <w:rFonts w:hint="eastAsia" w:ascii="仿宋_GB2312" w:hAnsi="仿宋_GB2312" w:eastAsia="仿宋_GB2312" w:cs="仿宋_GB2312"/>
          <w:sz w:val="32"/>
          <w:szCs w:val="32"/>
          <w:lang w:val="en-US" w:eastAsia="zh-CN"/>
        </w:rPr>
        <w:t>北京首</w:t>
      </w:r>
      <w:r>
        <w:rPr>
          <w:rFonts w:hint="eastAsia" w:ascii="仿宋_GB2312" w:hAnsi="仿宋_GB2312" w:eastAsia="仿宋_GB2312" w:cs="仿宋_GB2312"/>
          <w:sz w:val="32"/>
          <w:szCs w:val="32"/>
          <w:lang w:eastAsia="zh-CN"/>
        </w:rPr>
        <w:t>农食品集团</w:t>
      </w:r>
      <w:r>
        <w:rPr>
          <w:rFonts w:hint="eastAsia" w:ascii="仿宋_GB2312" w:hAnsi="仿宋_GB2312" w:eastAsia="仿宋_GB2312" w:cs="仿宋_GB2312"/>
          <w:sz w:val="32"/>
          <w:szCs w:val="32"/>
          <w:lang w:val="en-US" w:eastAsia="zh-CN"/>
        </w:rPr>
        <w:t>落实各项财务管理制度，及时将</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资金拨付</w:t>
      </w:r>
      <w:r>
        <w:rPr>
          <w:rFonts w:hint="eastAsia" w:ascii="仿宋_GB2312" w:hAnsi="仿宋_GB2312" w:eastAsia="仿宋_GB2312" w:cs="仿宋_GB2312"/>
          <w:sz w:val="32"/>
          <w:szCs w:val="32"/>
        </w:rPr>
        <w:t>至所属</w:t>
      </w:r>
      <w:bookmarkStart w:id="0" w:name="_GoBack"/>
      <w:bookmarkEnd w:id="0"/>
      <w:r>
        <w:rPr>
          <w:rFonts w:hint="eastAsia" w:ascii="仿宋_GB2312" w:hAnsi="仿宋_GB2312" w:eastAsia="仿宋_GB2312" w:cs="仿宋_GB2312"/>
          <w:sz w:val="32"/>
          <w:szCs w:val="32"/>
        </w:rPr>
        <w:t>烟台京远渔业公司，并监督做到资金专款专用</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对所属远洋企业检查指导，及时掌握资金使用情况、工作进度、效果评价等情况。</w:t>
      </w:r>
    </w:p>
    <w:p>
      <w:pPr>
        <w:rPr>
          <w:rFonts w:hint="default" w:ascii="仿宋" w:hAnsi="仿宋" w:eastAsia="仿宋" w:cs="仿宋"/>
          <w:b w:val="0"/>
          <w:bCs w:val="0"/>
          <w:spacing w:val="15"/>
          <w:sz w:val="32"/>
          <w:szCs w:val="32"/>
          <w:lang w:val="en-US" w:eastAsia="zh-CN"/>
        </w:rPr>
      </w:pPr>
      <w:r>
        <w:rPr>
          <w:rFonts w:hint="default" w:ascii="仿宋" w:hAnsi="仿宋" w:eastAsia="仿宋" w:cs="仿宋"/>
          <w:b w:val="0"/>
          <w:bCs w:val="0"/>
          <w:spacing w:val="15"/>
          <w:sz w:val="32"/>
          <w:szCs w:val="32"/>
          <w:lang w:val="en-US" w:eastAsia="zh-CN"/>
        </w:rPr>
        <w:br w:type="page"/>
      </w:r>
    </w:p>
    <w:tbl>
      <w:tblPr>
        <w:tblStyle w:val="6"/>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
        <w:gridCol w:w="607"/>
        <w:gridCol w:w="340"/>
        <w:gridCol w:w="1465"/>
        <w:gridCol w:w="837"/>
        <w:gridCol w:w="699"/>
        <w:gridCol w:w="3540"/>
        <w:gridCol w:w="947"/>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08" w:type="dxa"/>
            <w:gridSpan w:val="7"/>
            <w:tcBorders>
              <w:top w:val="nil"/>
              <w:left w:val="nil"/>
              <w:bottom w:val="nil"/>
              <w:right w:val="nil"/>
            </w:tcBorders>
            <w:shd w:val="clear" w:color="auto" w:fill="auto"/>
            <w:noWrap/>
            <w:vAlign w:val="center"/>
          </w:tcPr>
          <w:p>
            <w:pPr>
              <w:jc w:val="left"/>
              <w:rPr>
                <w:rFonts w:hint="eastAsia" w:ascii="CESI黑体-GB2312" w:hAnsi="CESI黑体-GB2312" w:eastAsia="CESI黑体-GB2312" w:cs="CESI黑体-GB2312"/>
                <w:i w:val="0"/>
                <w:iCs w:val="0"/>
                <w:color w:val="000000"/>
                <w:sz w:val="32"/>
                <w:szCs w:val="32"/>
                <w:u w:val="none"/>
              </w:rPr>
            </w:pPr>
          </w:p>
        </w:tc>
        <w:tc>
          <w:tcPr>
            <w:tcW w:w="9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683" w:type="dxa"/>
            <w:gridSpan w:val="8"/>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spacing w:val="1"/>
                <w:w w:val="95"/>
                <w:kern w:val="0"/>
                <w:sz w:val="36"/>
                <w:szCs w:val="36"/>
                <w:u w:val="none"/>
                <w:fitText w:val="8280" w:id="1641546840"/>
                <w:lang w:val="en-US" w:eastAsia="zh-CN" w:bidi="ar"/>
              </w:rPr>
              <w:t>北京市农业产业发展资金中央转移支付区域绩效目标</w:t>
            </w:r>
            <w:r>
              <w:rPr>
                <w:rFonts w:hint="eastAsia" w:ascii="方正小标宋简体" w:hAnsi="方正小标宋简体" w:eastAsia="方正小标宋简体" w:cs="方正小标宋简体"/>
                <w:i w:val="0"/>
                <w:iCs w:val="0"/>
                <w:color w:val="000000"/>
                <w:spacing w:val="33"/>
                <w:w w:val="95"/>
                <w:kern w:val="0"/>
                <w:sz w:val="36"/>
                <w:szCs w:val="36"/>
                <w:u w:val="none"/>
                <w:fitText w:val="8280" w:id="1641546840"/>
                <w:lang w:val="en-US" w:eastAsia="zh-CN" w:bidi="ar"/>
              </w:rPr>
              <w:t>表</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68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（2025年度）</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c>
          <w:tcPr>
            <w:tcW w:w="5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14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8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35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9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1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资金名称</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渔业发展支出-现代渔业装备设施</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1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中央主管部门</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财政部、农业农村部</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1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省级财政部门</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北京市财政局</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1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省级主管部门</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北京市农业农村局</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年度金额：</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其中：中央补助</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地方资金</w:t>
            </w:r>
          </w:p>
        </w:tc>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1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年度目标</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升级改造远洋渔船船上设施设备，提升远洋渔业安全生产水平。</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远洋渔船船上设备更新改造（套）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25</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验收通过率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5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资金使用重大违规违纪问题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设施设备利用率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远洋船队对中央财政补助经费使用情况满意度</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≥90%</w:t>
            </w:r>
          </w:p>
        </w:tc>
        <w:tc>
          <w:tcPr>
            <w:tcW w:w="9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rPr>
          <w:rFonts w:hint="default"/>
          <w:lang w:val="en-US" w:eastAsia="zh-CN"/>
        </w:rPr>
      </w:pPr>
    </w:p>
    <w:tbl>
      <w:tblPr>
        <w:tblStyle w:val="6"/>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
        <w:gridCol w:w="673"/>
        <w:gridCol w:w="348"/>
        <w:gridCol w:w="1496"/>
        <w:gridCol w:w="945"/>
        <w:gridCol w:w="610"/>
        <w:gridCol w:w="3091"/>
        <w:gridCol w:w="1274"/>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445" w:type="dxa"/>
            <w:gridSpan w:val="7"/>
            <w:tcBorders>
              <w:top w:val="nil"/>
              <w:left w:val="nil"/>
              <w:bottom w:val="nil"/>
              <w:right w:val="nil"/>
            </w:tcBorders>
            <w:shd w:val="clear" w:color="auto" w:fill="auto"/>
            <w:noWrap/>
            <w:vAlign w:val="center"/>
          </w:tcPr>
          <w:p>
            <w:pPr>
              <w:jc w:val="left"/>
              <w:rPr>
                <w:rFonts w:hint="eastAsia" w:ascii="CESI黑体-GB2312" w:hAnsi="CESI黑体-GB2312" w:eastAsia="CESI黑体-GB2312" w:cs="CESI黑体-GB2312"/>
                <w:i w:val="0"/>
                <w:iCs w:val="0"/>
                <w:color w:val="000000"/>
                <w:sz w:val="32"/>
                <w:szCs w:val="32"/>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73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spacing w:val="1"/>
                <w:w w:val="95"/>
                <w:kern w:val="0"/>
                <w:sz w:val="36"/>
                <w:szCs w:val="36"/>
                <w:u w:val="none"/>
                <w:fitText w:val="8280" w:id="1641546840"/>
                <w:lang w:val="en-US" w:eastAsia="zh-CN" w:bidi="ar"/>
              </w:rPr>
              <w:t>北京市农业产业发展资金中央转移支付区域绩效目标</w:t>
            </w:r>
            <w:r>
              <w:rPr>
                <w:rFonts w:hint="eastAsia" w:ascii="方正小标宋简体" w:hAnsi="方正小标宋简体" w:eastAsia="方正小标宋简体" w:cs="方正小标宋简体"/>
                <w:i w:val="0"/>
                <w:iCs w:val="0"/>
                <w:color w:val="000000"/>
                <w:spacing w:val="33"/>
                <w:w w:val="95"/>
                <w:kern w:val="0"/>
                <w:sz w:val="36"/>
                <w:szCs w:val="36"/>
                <w:u w:val="none"/>
                <w:fitText w:val="8280" w:id="1641546840"/>
                <w:lang w:val="en-US" w:eastAsia="zh-CN" w:bidi="ar"/>
              </w:rPr>
              <w:t>表</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73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（2025年度）</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c>
          <w:tcPr>
            <w:tcW w:w="6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14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9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30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8"/>
                <w:szCs w:val="2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3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资金名称</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渔业发展支出-渔业资源养护和履约能力提升</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3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中央主管部门</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财政部、农业农村部</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3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省级财政部门</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北京市财政局</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43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省级主管部门</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北京市农业农村局</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年度金额：</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1343</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其中：中央补助</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1343</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地方资金</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年度目标</w:t>
            </w:r>
          </w:p>
        </w:tc>
        <w:tc>
          <w:tcPr>
            <w:tcW w:w="73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履行国际公约养护国际渔业资源，开展负责任捕捞，提升履约能力水平。</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履约养护国际渔业资源奖补（艘）</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8</w:t>
            </w:r>
          </w:p>
        </w:tc>
        <w:tc>
          <w:tcPr>
            <w:tcW w:w="10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奖补对象符合国际公约要求</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100%</w:t>
            </w:r>
          </w:p>
        </w:tc>
        <w:tc>
          <w:tcPr>
            <w:tcW w:w="10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资金使用重大违规违纪问题</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0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水产品稳产保供能力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w:t>
            </w:r>
          </w:p>
        </w:tc>
        <w:tc>
          <w:tcPr>
            <w:tcW w:w="10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远洋船队对中央财政补助经费使用情况满意度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val="en-US" w:eastAsia="zh-CN" w:bidi="ar"/>
              </w:rPr>
              <w:t>≥90%</w:t>
            </w:r>
          </w:p>
        </w:tc>
        <w:tc>
          <w:tcPr>
            <w:tcW w:w="108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400" w:lineRule="exac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2"/>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ZjZmOGM0NDEyOGVmYTBiZWIyMThhYWQyMjg4ZjIifQ=="/>
  </w:docVars>
  <w:rsids>
    <w:rsidRoot w:val="000A3229"/>
    <w:rsid w:val="000A3229"/>
    <w:rsid w:val="000A46F6"/>
    <w:rsid w:val="000C10B5"/>
    <w:rsid w:val="000D7467"/>
    <w:rsid w:val="0015058F"/>
    <w:rsid w:val="00153718"/>
    <w:rsid w:val="00256E3B"/>
    <w:rsid w:val="002D4676"/>
    <w:rsid w:val="003740C2"/>
    <w:rsid w:val="003822DE"/>
    <w:rsid w:val="004027A4"/>
    <w:rsid w:val="00432DF0"/>
    <w:rsid w:val="004E4F01"/>
    <w:rsid w:val="005171BF"/>
    <w:rsid w:val="00581A49"/>
    <w:rsid w:val="00620BEC"/>
    <w:rsid w:val="00645914"/>
    <w:rsid w:val="006F1B18"/>
    <w:rsid w:val="00733F13"/>
    <w:rsid w:val="007373C9"/>
    <w:rsid w:val="007662B3"/>
    <w:rsid w:val="0077711E"/>
    <w:rsid w:val="007906BB"/>
    <w:rsid w:val="007D76E4"/>
    <w:rsid w:val="00842B29"/>
    <w:rsid w:val="00876685"/>
    <w:rsid w:val="00896C67"/>
    <w:rsid w:val="008A53DC"/>
    <w:rsid w:val="009152C3"/>
    <w:rsid w:val="009562CE"/>
    <w:rsid w:val="009D1F9A"/>
    <w:rsid w:val="009D44A3"/>
    <w:rsid w:val="00A118BD"/>
    <w:rsid w:val="00A823C5"/>
    <w:rsid w:val="00AC29D9"/>
    <w:rsid w:val="00AC7677"/>
    <w:rsid w:val="00AD5ECB"/>
    <w:rsid w:val="00B53CAE"/>
    <w:rsid w:val="00C17101"/>
    <w:rsid w:val="00C60FF1"/>
    <w:rsid w:val="00C82C1C"/>
    <w:rsid w:val="00C949A5"/>
    <w:rsid w:val="00D005F5"/>
    <w:rsid w:val="00D35C6A"/>
    <w:rsid w:val="00DA41F8"/>
    <w:rsid w:val="00EA03BD"/>
    <w:rsid w:val="00F33347"/>
    <w:rsid w:val="00F4097A"/>
    <w:rsid w:val="00F6081D"/>
    <w:rsid w:val="03F34FC3"/>
    <w:rsid w:val="156902E3"/>
    <w:rsid w:val="19CC0B92"/>
    <w:rsid w:val="1E946667"/>
    <w:rsid w:val="2DCF839E"/>
    <w:rsid w:val="37EFDF93"/>
    <w:rsid w:val="39EA3962"/>
    <w:rsid w:val="3BB5744F"/>
    <w:rsid w:val="3C3A6E7E"/>
    <w:rsid w:val="3EFF18AB"/>
    <w:rsid w:val="42FE77F8"/>
    <w:rsid w:val="44F6594D"/>
    <w:rsid w:val="4B061E7C"/>
    <w:rsid w:val="4FED99EA"/>
    <w:rsid w:val="57DBF79B"/>
    <w:rsid w:val="5F7DE326"/>
    <w:rsid w:val="5FA1307C"/>
    <w:rsid w:val="66FFB308"/>
    <w:rsid w:val="6C102B3A"/>
    <w:rsid w:val="6F6346A4"/>
    <w:rsid w:val="70571D4B"/>
    <w:rsid w:val="7417CC39"/>
    <w:rsid w:val="74DC9489"/>
    <w:rsid w:val="7725777F"/>
    <w:rsid w:val="77FB5F2F"/>
    <w:rsid w:val="7BCF2632"/>
    <w:rsid w:val="7DDA8EB9"/>
    <w:rsid w:val="7EBFDF87"/>
    <w:rsid w:val="7EF55D6D"/>
    <w:rsid w:val="7F5B8B37"/>
    <w:rsid w:val="8E7D8875"/>
    <w:rsid w:val="9C7FB52B"/>
    <w:rsid w:val="B75CD7C7"/>
    <w:rsid w:val="BB576410"/>
    <w:rsid w:val="BF77A028"/>
    <w:rsid w:val="BFF33A04"/>
    <w:rsid w:val="C79F06CD"/>
    <w:rsid w:val="D64D7ADF"/>
    <w:rsid w:val="D7A64897"/>
    <w:rsid w:val="DB794238"/>
    <w:rsid w:val="E6FFCA64"/>
    <w:rsid w:val="ED9FEAD4"/>
    <w:rsid w:val="F681C15D"/>
    <w:rsid w:val="FA372600"/>
    <w:rsid w:val="FCBF82EF"/>
    <w:rsid w:val="FD3F5D7B"/>
    <w:rsid w:val="FDFD5379"/>
    <w:rsid w:val="FE5B707D"/>
    <w:rsid w:val="FFF7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kern w:val="2"/>
      <w:sz w:val="18"/>
      <w:szCs w:val="18"/>
    </w:rPr>
  </w:style>
  <w:style w:type="character" w:customStyle="1" w:styleId="11">
    <w:name w:val="页脚 字符"/>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Words>
  <Characters>1080</Characters>
  <Lines>9</Lines>
  <Paragraphs>2</Paragraphs>
  <TotalTime>106</TotalTime>
  <ScaleCrop>false</ScaleCrop>
  <LinksUpToDate>false</LinksUpToDate>
  <CharactersWithSpaces>1267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2021-07-29T18:21:00Z</dcterms:created>
  <dc:creator>Administrator</dc:creator>
  <cp:lastModifiedBy>nyncj</cp:lastModifiedBy>
  <cp:lastPrinted>2024-06-28T10:29:00Z</cp:lastPrinted>
  <dcterms:modified xsi:type="dcterms:W3CDTF">2025-05-27T09:45:47Z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C595CE1024F50319FF3A3068348D8B72_43</vt:lpwstr>
  </property>
</Properties>
</file>