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717" w:rsidRDefault="00193717">
      <w:pPr>
        <w:jc w:val="center"/>
        <w:rPr>
          <w:rFonts w:ascii="仿宋_GB2312" w:eastAsia="仿宋_GB2312" w:hint="eastAsia"/>
          <w:b/>
          <w:sz w:val="32"/>
          <w:szCs w:val="32"/>
        </w:rPr>
      </w:pPr>
    </w:p>
    <w:p w:rsidR="00193717" w:rsidRDefault="00193717">
      <w:pPr>
        <w:jc w:val="center"/>
        <w:rPr>
          <w:rFonts w:ascii="黑体" w:eastAsia="黑体"/>
          <w:sz w:val="72"/>
          <w:szCs w:val="72"/>
        </w:rPr>
      </w:pPr>
    </w:p>
    <w:p w:rsidR="00193717" w:rsidRDefault="00193717">
      <w:pPr>
        <w:jc w:val="center"/>
        <w:rPr>
          <w:rFonts w:ascii="黑体" w:eastAsia="黑体"/>
          <w:sz w:val="72"/>
          <w:szCs w:val="72"/>
        </w:rPr>
      </w:pPr>
    </w:p>
    <w:p w:rsidR="00193717" w:rsidRDefault="00193717">
      <w:pPr>
        <w:jc w:val="center"/>
        <w:rPr>
          <w:rFonts w:ascii="黑体" w:eastAsia="黑体"/>
          <w:sz w:val="72"/>
          <w:szCs w:val="72"/>
        </w:rPr>
      </w:pPr>
    </w:p>
    <w:p w:rsidR="00193717" w:rsidRDefault="00193717">
      <w:pPr>
        <w:jc w:val="center"/>
        <w:rPr>
          <w:rFonts w:ascii="黑体" w:eastAsia="黑体"/>
          <w:sz w:val="72"/>
          <w:szCs w:val="72"/>
        </w:rPr>
      </w:pPr>
    </w:p>
    <w:p w:rsidR="00193717" w:rsidRDefault="00981FC2">
      <w:pPr>
        <w:jc w:val="center"/>
        <w:rPr>
          <w:rFonts w:ascii="黑体" w:eastAsia="黑体"/>
          <w:sz w:val="72"/>
          <w:szCs w:val="72"/>
        </w:rPr>
      </w:pPr>
      <w:r>
        <w:rPr>
          <w:rFonts w:ascii="黑体" w:eastAsia="黑体" w:hint="eastAsia"/>
          <w:sz w:val="72"/>
          <w:szCs w:val="72"/>
        </w:rPr>
        <w:t>2024年度部门决算（公开</w:t>
      </w:r>
      <w:r>
        <w:rPr>
          <w:rFonts w:ascii="黑体" w:eastAsia="黑体"/>
          <w:sz w:val="72"/>
          <w:szCs w:val="72"/>
        </w:rPr>
        <w:t>）</w:t>
      </w:r>
    </w:p>
    <w:p w:rsidR="00193717" w:rsidRDefault="00193717">
      <w:pPr>
        <w:jc w:val="center"/>
        <w:rPr>
          <w:rFonts w:ascii="黑体" w:eastAsia="黑体"/>
          <w:sz w:val="52"/>
          <w:szCs w:val="52"/>
        </w:rPr>
      </w:pPr>
    </w:p>
    <w:p w:rsidR="00193717" w:rsidRDefault="00193717">
      <w:pPr>
        <w:jc w:val="center"/>
        <w:rPr>
          <w:rFonts w:ascii="黑体" w:eastAsia="黑体"/>
          <w:sz w:val="52"/>
          <w:szCs w:val="52"/>
        </w:rPr>
      </w:pPr>
    </w:p>
    <w:p w:rsidR="00193717" w:rsidRPr="00781B66" w:rsidRDefault="00193717">
      <w:pPr>
        <w:jc w:val="center"/>
        <w:rPr>
          <w:rFonts w:ascii="黑体" w:eastAsia="黑体"/>
          <w:sz w:val="52"/>
          <w:szCs w:val="52"/>
        </w:rPr>
      </w:pPr>
    </w:p>
    <w:p w:rsidR="00193717" w:rsidRDefault="00193717">
      <w:pPr>
        <w:jc w:val="center"/>
        <w:rPr>
          <w:rFonts w:ascii="黑体" w:eastAsia="黑体"/>
          <w:sz w:val="52"/>
          <w:szCs w:val="52"/>
        </w:rPr>
      </w:pPr>
    </w:p>
    <w:p w:rsidR="00193717" w:rsidRDefault="00193717">
      <w:pPr>
        <w:jc w:val="center"/>
        <w:rPr>
          <w:rFonts w:ascii="黑体" w:eastAsia="黑体"/>
          <w:sz w:val="32"/>
          <w:szCs w:val="32"/>
        </w:rPr>
      </w:pPr>
    </w:p>
    <w:p w:rsidR="00193717" w:rsidRDefault="00981FC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193717" w:rsidRDefault="00193717">
      <w:pPr>
        <w:spacing w:line="500" w:lineRule="exact"/>
        <w:ind w:firstLine="645"/>
        <w:jc w:val="center"/>
        <w:rPr>
          <w:rFonts w:ascii="宋体" w:hAnsi="宋体" w:cs="宋体"/>
          <w:b/>
          <w:bCs/>
          <w:kern w:val="0"/>
          <w:sz w:val="36"/>
          <w:szCs w:val="36"/>
        </w:rPr>
      </w:pPr>
    </w:p>
    <w:p w:rsidR="00193717" w:rsidRDefault="00981FC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2024年度部门决算报表</w:t>
      </w:r>
    </w:p>
    <w:p w:rsidR="00193717" w:rsidRDefault="00981FC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193717" w:rsidRDefault="00981FC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193717" w:rsidRDefault="00981FC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2024年度部门决算说明</w:t>
      </w:r>
    </w:p>
    <w:p w:rsidR="00193717" w:rsidRDefault="00981FC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193717" w:rsidRDefault="00981FC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2024年度部门绩效评价情况</w:t>
      </w:r>
    </w:p>
    <w:p w:rsidR="00193717" w:rsidRDefault="00193717">
      <w:pPr>
        <w:tabs>
          <w:tab w:val="center" w:pos="6979"/>
        </w:tabs>
        <w:spacing w:beforeLines="50" w:before="156" w:afterLines="50" w:after="156"/>
        <w:jc w:val="center"/>
        <w:rPr>
          <w:rFonts w:ascii="宋体" w:hAnsi="宋体" w:cs="宋体"/>
          <w:b/>
          <w:bCs/>
          <w:spacing w:val="40"/>
          <w:kern w:val="0"/>
          <w:sz w:val="32"/>
          <w:szCs w:val="32"/>
        </w:rPr>
      </w:pPr>
    </w:p>
    <w:p w:rsidR="00193717" w:rsidRDefault="00193717">
      <w:pPr>
        <w:tabs>
          <w:tab w:val="center" w:pos="6979"/>
        </w:tabs>
        <w:spacing w:beforeLines="50" w:before="156" w:afterLines="50" w:after="156"/>
        <w:jc w:val="center"/>
        <w:rPr>
          <w:rFonts w:ascii="宋体" w:hAnsi="宋体" w:cs="宋体"/>
          <w:b/>
          <w:bCs/>
          <w:spacing w:val="40"/>
          <w:kern w:val="0"/>
          <w:sz w:val="32"/>
          <w:szCs w:val="32"/>
        </w:rPr>
      </w:pPr>
    </w:p>
    <w:p w:rsidR="00193717" w:rsidRDefault="00193717">
      <w:pPr>
        <w:tabs>
          <w:tab w:val="center" w:pos="6979"/>
        </w:tabs>
        <w:spacing w:beforeLines="50" w:before="156" w:afterLines="50" w:after="156"/>
        <w:jc w:val="center"/>
        <w:rPr>
          <w:rFonts w:ascii="宋体" w:hAnsi="宋体" w:cs="宋体"/>
          <w:b/>
          <w:bCs/>
          <w:spacing w:val="40"/>
          <w:kern w:val="0"/>
          <w:sz w:val="32"/>
          <w:szCs w:val="32"/>
        </w:rPr>
      </w:pPr>
    </w:p>
    <w:p w:rsidR="00193717" w:rsidRDefault="00193717">
      <w:pPr>
        <w:tabs>
          <w:tab w:val="center" w:pos="6979"/>
        </w:tabs>
        <w:spacing w:beforeLines="50" w:before="156" w:afterLines="50" w:after="156"/>
        <w:jc w:val="center"/>
        <w:rPr>
          <w:rFonts w:ascii="宋体" w:hAnsi="宋体" w:cs="宋体"/>
          <w:b/>
          <w:bCs/>
          <w:spacing w:val="40"/>
          <w:kern w:val="0"/>
          <w:sz w:val="32"/>
          <w:szCs w:val="32"/>
        </w:rPr>
      </w:pPr>
    </w:p>
    <w:p w:rsidR="00193717" w:rsidRDefault="00193717">
      <w:pPr>
        <w:tabs>
          <w:tab w:val="center" w:pos="6979"/>
        </w:tabs>
        <w:spacing w:beforeLines="50" w:before="156" w:afterLines="50" w:after="156"/>
        <w:jc w:val="center"/>
        <w:rPr>
          <w:rFonts w:ascii="宋体" w:hAnsi="宋体" w:cs="宋体"/>
          <w:b/>
          <w:bCs/>
          <w:spacing w:val="40"/>
          <w:kern w:val="0"/>
          <w:sz w:val="32"/>
          <w:szCs w:val="32"/>
        </w:rPr>
      </w:pPr>
    </w:p>
    <w:p w:rsidR="00193717" w:rsidRDefault="00981FC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2024年度部门决算报表</w:t>
      </w:r>
    </w:p>
    <w:p w:rsidR="00193717" w:rsidRDefault="00981FC2">
      <w:pPr>
        <w:pStyle w:val="2"/>
        <w:rPr>
          <w:b w:val="0"/>
          <w:bCs w:val="0"/>
        </w:rPr>
        <w:sectPr w:rsidR="00193717">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193717" w:rsidRDefault="00981FC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193717" w:rsidRDefault="00981FC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193717" w:rsidRPr="00C07FBF" w:rsidRDefault="00981FC2">
      <w:pPr>
        <w:snapToGrid w:val="0"/>
        <w:spacing w:line="520" w:lineRule="exact"/>
        <w:ind w:firstLineChars="200" w:firstLine="560"/>
        <w:rPr>
          <w:rFonts w:ascii="仿宋_GB2312" w:eastAsia="仿宋_GB2312"/>
          <w:kern w:val="0"/>
          <w:sz w:val="28"/>
          <w:szCs w:val="28"/>
        </w:rPr>
      </w:pPr>
      <w:r>
        <w:rPr>
          <w:rFonts w:ascii="仿宋_GB2312" w:eastAsia="仿宋_GB2312" w:hint="eastAsia"/>
          <w:kern w:val="0"/>
          <w:sz w:val="28"/>
          <w:szCs w:val="28"/>
        </w:rPr>
        <w:t>单位</w:t>
      </w:r>
      <w:r>
        <w:rPr>
          <w:rFonts w:ascii="仿宋_GB2312" w:eastAsia="仿宋_GB2312"/>
          <w:kern w:val="0"/>
          <w:sz w:val="28"/>
          <w:szCs w:val="28"/>
        </w:rPr>
        <w:t>性质</w:t>
      </w:r>
      <w:r>
        <w:rPr>
          <w:rFonts w:ascii="仿宋_GB2312" w:eastAsia="仿宋_GB2312" w:hint="eastAsia"/>
          <w:kern w:val="0"/>
          <w:sz w:val="28"/>
          <w:szCs w:val="28"/>
        </w:rPr>
        <w:t>：根据《中共北京市委机构编制委员会关于市委农工委、市农业农村局所属事业单位改革有关事项的批复》（京编委〔2021〕128号）文件</w:t>
      </w:r>
      <w:r>
        <w:rPr>
          <w:rFonts w:ascii="仿宋_GB2312" w:eastAsia="仿宋_GB2312"/>
          <w:kern w:val="0"/>
          <w:sz w:val="28"/>
          <w:szCs w:val="28"/>
        </w:rPr>
        <w:t>精神</w:t>
      </w:r>
      <w:r>
        <w:rPr>
          <w:rFonts w:ascii="仿宋_GB2312" w:eastAsia="仿宋_GB2312" w:hint="eastAsia"/>
          <w:kern w:val="0"/>
          <w:sz w:val="28"/>
          <w:szCs w:val="28"/>
        </w:rPr>
        <w:t>，</w:t>
      </w:r>
      <w:r w:rsidRPr="00C07FBF">
        <w:rPr>
          <w:rFonts w:ascii="仿宋_GB2312" w:eastAsia="仿宋_GB2312" w:hint="eastAsia"/>
          <w:kern w:val="0"/>
          <w:sz w:val="28"/>
          <w:szCs w:val="28"/>
        </w:rPr>
        <w:t>北京市畜牧总站为市</w:t>
      </w:r>
      <w:r w:rsidRPr="00C07FBF">
        <w:rPr>
          <w:rFonts w:ascii="仿宋_GB2312" w:eastAsia="仿宋_GB2312"/>
          <w:kern w:val="0"/>
          <w:sz w:val="28"/>
          <w:szCs w:val="28"/>
        </w:rPr>
        <w:t>农业农村</w:t>
      </w:r>
      <w:r w:rsidRPr="00C07FBF">
        <w:rPr>
          <w:rFonts w:ascii="仿宋_GB2312" w:eastAsia="仿宋_GB2312" w:hint="eastAsia"/>
          <w:kern w:val="0"/>
          <w:sz w:val="28"/>
          <w:szCs w:val="28"/>
        </w:rPr>
        <w:t>局</w:t>
      </w:r>
      <w:r w:rsidRPr="00C07FBF">
        <w:rPr>
          <w:rFonts w:ascii="仿宋_GB2312" w:eastAsia="仿宋_GB2312"/>
          <w:kern w:val="0"/>
          <w:sz w:val="28"/>
          <w:szCs w:val="28"/>
        </w:rPr>
        <w:t>直属全额</w:t>
      </w:r>
      <w:r w:rsidRPr="00C07FBF">
        <w:rPr>
          <w:rFonts w:ascii="仿宋_GB2312" w:eastAsia="仿宋_GB2312" w:hint="eastAsia"/>
          <w:kern w:val="0"/>
          <w:sz w:val="28"/>
          <w:szCs w:val="28"/>
        </w:rPr>
        <w:t>拨款</w:t>
      </w:r>
      <w:r w:rsidRPr="00C07FBF">
        <w:rPr>
          <w:rFonts w:ascii="仿宋_GB2312" w:eastAsia="仿宋_GB2312"/>
          <w:kern w:val="0"/>
          <w:sz w:val="28"/>
          <w:szCs w:val="28"/>
        </w:rPr>
        <w:t>事业单位，机构规格</w:t>
      </w:r>
      <w:r w:rsidRPr="00C07FBF">
        <w:rPr>
          <w:rFonts w:ascii="仿宋_GB2312" w:eastAsia="仿宋_GB2312" w:hint="eastAsia"/>
          <w:kern w:val="0"/>
          <w:sz w:val="28"/>
          <w:szCs w:val="28"/>
        </w:rPr>
        <w:t>为</w:t>
      </w:r>
      <w:r w:rsidRPr="00C07FBF">
        <w:rPr>
          <w:rFonts w:ascii="仿宋_GB2312" w:eastAsia="仿宋_GB2312"/>
          <w:kern w:val="0"/>
          <w:sz w:val="28"/>
          <w:szCs w:val="28"/>
        </w:rPr>
        <w:t>正处级，单位类别为公益一类</w:t>
      </w:r>
      <w:r w:rsidRPr="00C07FBF">
        <w:rPr>
          <w:rFonts w:ascii="仿宋_GB2312" w:eastAsia="仿宋_GB2312" w:hint="eastAsia"/>
          <w:kern w:val="0"/>
          <w:sz w:val="28"/>
          <w:szCs w:val="28"/>
        </w:rPr>
        <w:t>。</w:t>
      </w:r>
    </w:p>
    <w:p w:rsidR="00193717" w:rsidRPr="00C07FBF" w:rsidRDefault="00981FC2">
      <w:pPr>
        <w:snapToGrid w:val="0"/>
        <w:spacing w:line="520" w:lineRule="exact"/>
        <w:ind w:firstLineChars="200" w:firstLine="560"/>
        <w:rPr>
          <w:rFonts w:ascii="仿宋_GB2312" w:eastAsia="仿宋_GB2312"/>
          <w:kern w:val="0"/>
          <w:sz w:val="28"/>
          <w:szCs w:val="28"/>
        </w:rPr>
      </w:pPr>
      <w:r w:rsidRPr="00C07FBF">
        <w:rPr>
          <w:rFonts w:ascii="仿宋_GB2312" w:eastAsia="仿宋_GB2312" w:hint="eastAsia"/>
          <w:kern w:val="0"/>
          <w:sz w:val="28"/>
          <w:szCs w:val="28"/>
        </w:rPr>
        <w:t>主要职能：承担本市畜牧业技术推广、畜牧业环境质量监测、畜禽生产管理的技术性、事务性工作。</w:t>
      </w:r>
    </w:p>
    <w:p w:rsidR="00193717" w:rsidRPr="00C07FBF" w:rsidRDefault="00981FC2">
      <w:pPr>
        <w:tabs>
          <w:tab w:val="center" w:pos="6979"/>
        </w:tabs>
        <w:spacing w:line="580" w:lineRule="exact"/>
        <w:ind w:firstLineChars="200" w:firstLine="560"/>
        <w:rPr>
          <w:rFonts w:ascii="仿宋_GB2312" w:eastAsia="仿宋_GB2312"/>
          <w:kern w:val="0"/>
          <w:sz w:val="28"/>
          <w:szCs w:val="28"/>
        </w:rPr>
      </w:pPr>
      <w:r w:rsidRPr="00C07FBF">
        <w:rPr>
          <w:rFonts w:ascii="仿宋_GB2312" w:eastAsia="仿宋_GB2312" w:hint="eastAsia"/>
          <w:kern w:val="0"/>
          <w:sz w:val="28"/>
          <w:szCs w:val="28"/>
        </w:rPr>
        <w:t>机构设置</w:t>
      </w:r>
      <w:r w:rsidRPr="00C07FBF">
        <w:rPr>
          <w:rFonts w:ascii="仿宋_GB2312" w:eastAsia="仿宋_GB2312"/>
          <w:kern w:val="0"/>
          <w:sz w:val="28"/>
          <w:szCs w:val="28"/>
        </w:rPr>
        <w:t>情况：</w:t>
      </w:r>
      <w:r w:rsidRPr="00C07FBF">
        <w:rPr>
          <w:rFonts w:ascii="仿宋_GB2312" w:eastAsia="仿宋_GB2312" w:hint="eastAsia"/>
          <w:kern w:val="0"/>
          <w:sz w:val="28"/>
          <w:szCs w:val="28"/>
        </w:rPr>
        <w:t>单位内设科技科、环境保护科、生态建设科、环境监测科、节能减排科、畜禽种业科、种畜禽质量检测科、遗传资源保护科、畜牧生产科、畜禽产品检测科、饲料与营养科、微生物科、办公室、人事科、综合科、后勤科16个科室。</w:t>
      </w:r>
    </w:p>
    <w:p w:rsidR="00193717" w:rsidRDefault="00981FC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193717" w:rsidRDefault="00981FC2">
      <w:pPr>
        <w:tabs>
          <w:tab w:val="center" w:pos="6979"/>
        </w:tabs>
        <w:spacing w:line="580" w:lineRule="exact"/>
        <w:ind w:firstLine="570"/>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5712.62</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w:t>
      </w:r>
      <w:r>
        <w:rPr>
          <w:rFonts w:ascii="仿宋_GB2312" w:eastAsia="仿宋_GB2312"/>
          <w:sz w:val="28"/>
          <w:szCs w:val="28"/>
        </w:rPr>
        <w:t>019.07</w:t>
      </w:r>
      <w:r>
        <w:rPr>
          <w:rFonts w:ascii="仿宋_GB2312" w:eastAsia="仿宋_GB2312" w:hint="eastAsia"/>
          <w:sz w:val="28"/>
          <w:szCs w:val="28"/>
        </w:rPr>
        <w:t>万元，下降15.14%。</w:t>
      </w:r>
    </w:p>
    <w:p w:rsidR="00193717" w:rsidRDefault="00981FC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193717" w:rsidRDefault="00981FC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2024年度本年收入合计</w:t>
      </w:r>
      <w:r>
        <w:rPr>
          <w:rFonts w:ascii="仿宋_GB2312" w:eastAsia="仿宋_GB2312"/>
          <w:sz w:val="28"/>
          <w:szCs w:val="28"/>
        </w:rPr>
        <w:t>5474.85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100.37万元，增长1</w:t>
      </w:r>
      <w:r>
        <w:rPr>
          <w:rFonts w:ascii="仿宋_GB2312" w:eastAsia="仿宋_GB2312"/>
          <w:sz w:val="28"/>
          <w:szCs w:val="28"/>
        </w:rPr>
        <w:t>.87</w:t>
      </w:r>
      <w:r>
        <w:rPr>
          <w:rFonts w:ascii="仿宋_GB2312" w:eastAsia="仿宋_GB2312" w:hint="eastAsia"/>
          <w:sz w:val="28"/>
          <w:szCs w:val="28"/>
        </w:rPr>
        <w:t>%。</w:t>
      </w:r>
    </w:p>
    <w:p w:rsidR="00193717" w:rsidRDefault="00981FC2">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5449.55</w:t>
      </w:r>
      <w:r>
        <w:rPr>
          <w:rFonts w:ascii="仿宋_GB2312" w:eastAsia="仿宋_GB2312" w:hint="eastAsia"/>
          <w:sz w:val="28"/>
          <w:szCs w:val="28"/>
        </w:rPr>
        <w:t>万元，占收入合计的99.54%。其中：一般公共预算财政拨款收入</w:t>
      </w:r>
      <w:r>
        <w:rPr>
          <w:rFonts w:ascii="仿宋_GB2312" w:eastAsia="仿宋_GB2312"/>
          <w:sz w:val="28"/>
          <w:szCs w:val="28"/>
        </w:rPr>
        <w:t>5449.55</w:t>
      </w:r>
      <w:r>
        <w:rPr>
          <w:rFonts w:ascii="仿宋_GB2312" w:eastAsia="仿宋_GB2312" w:hint="eastAsia"/>
          <w:sz w:val="28"/>
          <w:szCs w:val="28"/>
        </w:rPr>
        <w:t>万元，占收入合计的99.54%；政府性基金预算财政拨款收入</w:t>
      </w:r>
      <w:r>
        <w:rPr>
          <w:rFonts w:ascii="仿宋_GB2312" w:eastAsia="仿宋_GB2312"/>
          <w:sz w:val="28"/>
          <w:szCs w:val="28"/>
        </w:rPr>
        <w:t>0</w:t>
      </w:r>
      <w:r>
        <w:rPr>
          <w:rFonts w:ascii="仿宋_GB2312" w:eastAsia="仿宋_GB2312" w:hint="eastAsia"/>
          <w:sz w:val="28"/>
          <w:szCs w:val="28"/>
        </w:rPr>
        <w:t>万元，占收入合计的0%；国有资本经营预算财政拨款收入</w:t>
      </w:r>
      <w:r>
        <w:rPr>
          <w:rFonts w:ascii="仿宋_GB2312" w:eastAsia="仿宋_GB2312"/>
          <w:sz w:val="28"/>
          <w:szCs w:val="28"/>
        </w:rPr>
        <w:t>0</w:t>
      </w:r>
      <w:r>
        <w:rPr>
          <w:rFonts w:ascii="仿宋_GB2312" w:eastAsia="仿宋_GB2312" w:hint="eastAsia"/>
          <w:sz w:val="28"/>
          <w:szCs w:val="28"/>
        </w:rPr>
        <w:t>万元，占收入合计的0%；</w:t>
      </w:r>
    </w:p>
    <w:p w:rsidR="00193717" w:rsidRDefault="00981FC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2.上级补助收入</w:t>
      </w:r>
      <w:r>
        <w:rPr>
          <w:rFonts w:ascii="仿宋_GB2312" w:eastAsia="仿宋_GB2312"/>
          <w:sz w:val="28"/>
          <w:szCs w:val="28"/>
        </w:rPr>
        <w:t>0</w:t>
      </w:r>
      <w:r>
        <w:rPr>
          <w:rFonts w:ascii="仿宋_GB2312" w:eastAsia="仿宋_GB2312" w:hint="eastAsia"/>
          <w:sz w:val="28"/>
          <w:szCs w:val="28"/>
        </w:rPr>
        <w:t>万元，占收入合计的0%；</w:t>
      </w:r>
    </w:p>
    <w:p w:rsidR="00193717" w:rsidRDefault="00981FC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万元，占收入合计的0%；</w:t>
      </w:r>
    </w:p>
    <w:p w:rsidR="00193717" w:rsidRDefault="00981FC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万元，占收入合计的0%；</w:t>
      </w:r>
    </w:p>
    <w:p w:rsidR="00193717" w:rsidRDefault="00981FC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万元，占收入合计的0%；</w:t>
      </w:r>
    </w:p>
    <w:p w:rsidR="00193717" w:rsidRDefault="00981FC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25.3</w:t>
      </w:r>
      <w:r>
        <w:rPr>
          <w:rFonts w:ascii="仿宋_GB2312" w:eastAsia="仿宋_GB2312" w:hint="eastAsia"/>
          <w:sz w:val="28"/>
          <w:szCs w:val="28"/>
        </w:rPr>
        <w:t>万元，占收入合计的0.46%。</w:t>
      </w:r>
    </w:p>
    <w:p w:rsidR="00193717" w:rsidRDefault="00193717"/>
    <w:p w:rsidR="00193717" w:rsidRDefault="00981FC2">
      <w:pPr>
        <w:pStyle w:val="2"/>
        <w:jc w:val="center"/>
      </w:pPr>
      <w:r w:rsidRPr="00C13D74">
        <w:rPr>
          <w:rFonts w:ascii="仿宋_GB2312" w:eastAsia="仿宋_GB2312" w:hint="eastAsia"/>
          <w:color w:val="000000"/>
          <w:sz w:val="32"/>
        </w:rPr>
        <w:t>图1：收入决算</w:t>
      </w:r>
      <w:r w:rsidR="00B1357B">
        <w:rPr>
          <w:rFonts w:ascii="仿宋_GB2312" w:eastAsia="仿宋_GB2312" w:hint="eastAsia"/>
          <w:color w:val="000000"/>
          <w:sz w:val="32"/>
        </w:rPr>
        <w:t xml:space="preserve">   </w:t>
      </w:r>
    </w:p>
    <w:p w:rsidR="00193717" w:rsidRDefault="00981FC2">
      <w:pPr>
        <w:pStyle w:val="a3"/>
        <w:ind w:firstLine="420"/>
        <w:jc w:val="center"/>
      </w:pPr>
      <w:r>
        <w:rPr>
          <w:noProof/>
        </w:rPr>
        <w:drawing>
          <wp:inline distT="0" distB="0" distL="0" distR="0">
            <wp:extent cx="3768090" cy="2051050"/>
            <wp:effectExtent l="0" t="0" r="3810" b="635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93717" w:rsidRDefault="00981FC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193717" w:rsidRDefault="00981FC2">
      <w:pPr>
        <w:tabs>
          <w:tab w:val="center" w:pos="6979"/>
        </w:tabs>
        <w:spacing w:line="580" w:lineRule="exact"/>
        <w:ind w:firstLine="570"/>
        <w:rPr>
          <w:rFonts w:ascii="仿宋_GB2312" w:eastAsia="仿宋_GB2312" w:cs="Droid Sans"/>
          <w:color w:val="000000"/>
          <w:sz w:val="32"/>
          <w:szCs w:val="32"/>
        </w:rPr>
      </w:pPr>
      <w:r>
        <w:rPr>
          <w:rFonts w:ascii="仿宋_GB2312" w:eastAsia="仿宋_GB2312" w:hint="eastAsia"/>
          <w:sz w:val="28"/>
          <w:szCs w:val="28"/>
        </w:rPr>
        <w:t>2024年度本年支出合计</w:t>
      </w:r>
      <w:r>
        <w:rPr>
          <w:rFonts w:ascii="仿宋_GB2312" w:eastAsia="仿宋_GB2312"/>
          <w:sz w:val="28"/>
          <w:szCs w:val="28"/>
        </w:rPr>
        <w:t>5274.71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减少1178.03万元，下降18.26%，其中：基本支出</w:t>
      </w:r>
      <w:r>
        <w:rPr>
          <w:rFonts w:ascii="仿宋_GB2312" w:eastAsia="仿宋_GB2312"/>
          <w:sz w:val="28"/>
          <w:szCs w:val="28"/>
        </w:rPr>
        <w:t>3524.97</w:t>
      </w:r>
      <w:r>
        <w:rPr>
          <w:rFonts w:ascii="仿宋_GB2312" w:eastAsia="仿宋_GB2312" w:hint="eastAsia"/>
          <w:sz w:val="28"/>
          <w:szCs w:val="28"/>
        </w:rPr>
        <w:t>万元，占支出合计的66.83%；项目支出</w:t>
      </w:r>
      <w:r>
        <w:rPr>
          <w:rFonts w:ascii="仿宋_GB2312" w:eastAsia="仿宋_GB2312"/>
          <w:sz w:val="28"/>
          <w:szCs w:val="28"/>
        </w:rPr>
        <w:t>1749.7</w:t>
      </w:r>
      <w:r>
        <w:rPr>
          <w:rFonts w:ascii="仿宋_GB2312" w:eastAsia="仿宋_GB2312" w:hint="eastAsia"/>
          <w:sz w:val="28"/>
          <w:szCs w:val="28"/>
        </w:rPr>
        <w:t>4万元，占支出合计的33.17%;上缴上级支出</w:t>
      </w:r>
      <w:r>
        <w:rPr>
          <w:rFonts w:ascii="仿宋_GB2312" w:eastAsia="仿宋_GB2312"/>
          <w:sz w:val="28"/>
          <w:szCs w:val="28"/>
        </w:rPr>
        <w:t>0</w:t>
      </w:r>
      <w:r>
        <w:rPr>
          <w:rFonts w:ascii="仿宋_GB2312" w:eastAsia="仿宋_GB2312" w:hint="eastAsia"/>
          <w:sz w:val="28"/>
          <w:szCs w:val="28"/>
        </w:rPr>
        <w:t>万元，占支出合计的0%；经营支</w:t>
      </w:r>
      <w:r>
        <w:rPr>
          <w:rFonts w:ascii="仿宋_GB2312" w:eastAsia="仿宋_GB2312" w:hint="eastAsia"/>
          <w:sz w:val="28"/>
          <w:szCs w:val="28"/>
        </w:rPr>
        <w:lastRenderedPageBreak/>
        <w:t>出</w:t>
      </w:r>
      <w:r>
        <w:rPr>
          <w:rFonts w:ascii="仿宋_GB2312" w:eastAsia="仿宋_GB2312"/>
          <w:sz w:val="28"/>
          <w:szCs w:val="28"/>
        </w:rPr>
        <w:t>0</w:t>
      </w:r>
      <w:r>
        <w:rPr>
          <w:rFonts w:ascii="仿宋_GB2312" w:eastAsia="仿宋_GB2312" w:hint="eastAsia"/>
          <w:sz w:val="28"/>
          <w:szCs w:val="28"/>
        </w:rPr>
        <w:t>万元，占支出合计的0%；对附属单位补助支出</w:t>
      </w:r>
      <w:r>
        <w:rPr>
          <w:rFonts w:ascii="仿宋_GB2312" w:eastAsia="仿宋_GB2312"/>
          <w:sz w:val="28"/>
          <w:szCs w:val="28"/>
        </w:rPr>
        <w:t>0</w:t>
      </w:r>
      <w:r>
        <w:rPr>
          <w:rFonts w:ascii="仿宋_GB2312" w:eastAsia="仿宋_GB2312" w:hint="eastAsia"/>
          <w:sz w:val="28"/>
          <w:szCs w:val="28"/>
        </w:rPr>
        <w:t>万元，占支出合计的0%。</w:t>
      </w:r>
    </w:p>
    <w:p w:rsidR="00B1357B" w:rsidRDefault="00981FC2" w:rsidP="00B1357B">
      <w:pPr>
        <w:pStyle w:val="2"/>
        <w:jc w:val="center"/>
      </w:pPr>
      <w:r w:rsidRPr="00C13D74">
        <w:rPr>
          <w:rFonts w:ascii="仿宋_GB2312" w:eastAsia="仿宋_GB2312" w:hint="eastAsia"/>
          <w:color w:val="000000"/>
          <w:sz w:val="32"/>
        </w:rPr>
        <w:t>图2：基本支出和项目支出情况</w:t>
      </w:r>
      <w:r w:rsidR="00B1357B">
        <w:rPr>
          <w:rFonts w:ascii="仿宋_GB2312" w:eastAsia="仿宋_GB2312" w:hint="eastAsia"/>
          <w:color w:val="000000"/>
          <w:sz w:val="32"/>
        </w:rPr>
        <w:t xml:space="preserve">  </w:t>
      </w:r>
    </w:p>
    <w:p w:rsidR="00193717" w:rsidRPr="00B1357B" w:rsidRDefault="00193717">
      <w:pPr>
        <w:pStyle w:val="2"/>
        <w:ind w:firstLine="642"/>
        <w:jc w:val="center"/>
        <w:rPr>
          <w:rFonts w:ascii="仿宋_GB2312" w:eastAsia="仿宋_GB2312"/>
          <w:color w:val="000000"/>
          <w:sz w:val="32"/>
        </w:rPr>
      </w:pPr>
    </w:p>
    <w:p w:rsidR="00193717" w:rsidRDefault="00981FC2">
      <w:pPr>
        <w:jc w:val="center"/>
        <w:rPr>
          <w:rFonts w:ascii="黑体" w:eastAsia="黑体"/>
          <w:b/>
          <w:sz w:val="28"/>
          <w:szCs w:val="28"/>
        </w:rPr>
      </w:pPr>
      <w:r>
        <w:rPr>
          <w:noProof/>
        </w:rPr>
        <w:drawing>
          <wp:inline distT="0" distB="0" distL="114300" distR="114300">
            <wp:extent cx="4572000" cy="2743200"/>
            <wp:effectExtent l="0" t="0" r="0" b="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93717" w:rsidRDefault="00981FC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193717" w:rsidRDefault="00981FC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5509.71</w:t>
      </w:r>
      <w:r>
        <w:rPr>
          <w:rFonts w:ascii="仿宋_GB2312" w:eastAsia="仿宋_GB2312" w:hint="eastAsia"/>
          <w:sz w:val="28"/>
          <w:szCs w:val="28"/>
        </w:rPr>
        <w:t>万元，比上年减少761.78万元，下降12.15%。主要原因：</w:t>
      </w:r>
      <w:r w:rsidR="00C07FBF" w:rsidRPr="00C07FBF">
        <w:rPr>
          <w:rFonts w:ascii="仿宋_GB2312" w:eastAsia="仿宋_GB2312"/>
          <w:sz w:val="28"/>
          <w:szCs w:val="28"/>
        </w:rPr>
        <w:t>根据科研项目可跨年度实施的管理规定，部分上年度已安排财政资金的科研项目本年度不再重复安排。</w:t>
      </w:r>
    </w:p>
    <w:p w:rsidR="00193717" w:rsidRDefault="00981FC2">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193717" w:rsidRDefault="00981FC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193717" w:rsidRDefault="00981FC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2024年度一般公共预算财政拨款支出</w:t>
      </w:r>
      <w:r>
        <w:rPr>
          <w:rFonts w:ascii="仿宋_GB2312" w:eastAsia="仿宋_GB2312"/>
          <w:sz w:val="28"/>
          <w:szCs w:val="28"/>
        </w:rPr>
        <w:t>5254.93</w:t>
      </w:r>
      <w:r>
        <w:rPr>
          <w:rFonts w:ascii="仿宋_GB2312" w:eastAsia="仿宋_GB2312" w:hint="eastAsia"/>
          <w:sz w:val="28"/>
          <w:szCs w:val="28"/>
        </w:rPr>
        <w:t>万元，主要用于以下方面（按大类）：教育支出27.86万元，占本年财政拨款支出0.53%；科学技术支出689.10万元，占本年财政拨款支出13.11%；社会保障和就业支出448.91万元，占本年财政拨款支出8.54%；卫生健康支出</w:t>
      </w:r>
      <w:bookmarkStart w:id="0" w:name="_GoBack"/>
      <w:bookmarkEnd w:id="0"/>
      <w:r>
        <w:rPr>
          <w:rFonts w:ascii="仿宋_GB2312" w:eastAsia="仿宋_GB2312" w:hint="eastAsia"/>
          <w:sz w:val="28"/>
          <w:szCs w:val="28"/>
        </w:rPr>
        <w:t>225.45万元，占本年财政拨款支出4.29%；农林水支出3863.61万元，占本年财政拨款支出73.53%。</w:t>
      </w:r>
    </w:p>
    <w:p w:rsidR="00193717" w:rsidRDefault="00981FC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193717" w:rsidRDefault="00981FC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1、“教育支出”（类）2024年度年初预算30.30万元，2024年度决算27.86万元，完成年初预算的91.95%。</w:t>
      </w:r>
    </w:p>
    <w:p w:rsidR="00193717" w:rsidRDefault="00981FC2">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193717"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“进修及培训”（款）2024年度年初预算30.30万元，2024年度决算27.86万元，完成年初预算的91.95%。主要原因：落实政府过紧日子的要求，压减和严控一般性支出。</w:t>
      </w:r>
    </w:p>
    <w:p w:rsidR="00193717"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2、“科学技术支出”(类)2024年度年初预算890.16万元，2024年度决算689.10万元，完成年初预算的77.41%。其中：</w:t>
      </w:r>
    </w:p>
    <w:p w:rsidR="00193717"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“技术研究与开发”（款）2024年度年初预算890.16万元，2024年度决算689.10万元，完成年初预算的77.41%。主要原因：受科研项目管理特性影响，根据相关规定，科研类项目可滚动支持、跨年实施。</w:t>
      </w:r>
    </w:p>
    <w:p w:rsidR="00193717" w:rsidRDefault="00981FC2">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“社会保障和就业支出”(类)2024年度年初预算448.04万元，2024年度决算448.91万元，完成年初预算的100.19%。</w:t>
      </w:r>
    </w:p>
    <w:p w:rsidR="00193717" w:rsidRDefault="00981FC2">
      <w:pPr>
        <w:spacing w:line="580" w:lineRule="exact"/>
        <w:rPr>
          <w:rFonts w:ascii="仿宋_GB2312" w:eastAsia="仿宋_GB2312"/>
          <w:sz w:val="28"/>
          <w:szCs w:val="28"/>
        </w:rPr>
      </w:pPr>
      <w:r>
        <w:rPr>
          <w:rFonts w:ascii="仿宋_GB2312" w:eastAsia="仿宋_GB2312" w:hint="eastAsia"/>
          <w:sz w:val="28"/>
          <w:szCs w:val="28"/>
        </w:rPr>
        <w:lastRenderedPageBreak/>
        <w:t>其中：</w:t>
      </w:r>
    </w:p>
    <w:p w:rsidR="00193717"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“行政事业单位养老支出”（款）2024年度年初预算448.04万元，2024年度决算448.91万元，完成年初预算的100.19%。主要原因：按照实际缴费情况缴纳职工基本养老保险和职业年金。</w:t>
      </w:r>
    </w:p>
    <w:p w:rsidR="00193717"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4、“卫生健康支出”(类)2024年度年初预算232.70万元，2024年度决算225.45万元，完成年初预算的96.88%。其中：</w:t>
      </w:r>
    </w:p>
    <w:p w:rsidR="00193717"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“行政事业单位医疗”（款）2024年度年初预算232.70万元，2024年度决算225.45万元，完成年初预算的96.88%。主要原因：按照实际缴费情况缴纳职工医疗保险。</w:t>
      </w:r>
    </w:p>
    <w:p w:rsidR="00193717"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5、“农林水支出”(类)2024年度年初预算</w:t>
      </w:r>
      <w:r w:rsidR="006F3A40">
        <w:rPr>
          <w:rFonts w:ascii="仿宋_GB2312" w:eastAsia="仿宋_GB2312"/>
          <w:sz w:val="28"/>
          <w:szCs w:val="28"/>
        </w:rPr>
        <w:t>3803.24</w:t>
      </w:r>
      <w:r>
        <w:rPr>
          <w:rFonts w:ascii="仿宋_GB2312" w:eastAsia="仿宋_GB2312" w:hint="eastAsia"/>
          <w:sz w:val="28"/>
          <w:szCs w:val="28"/>
        </w:rPr>
        <w:t>万元，2024年度决算3863.62万元，完成年初预算的</w:t>
      </w:r>
      <w:r w:rsidR="006F3A40">
        <w:rPr>
          <w:rFonts w:ascii="仿宋_GB2312" w:eastAsia="仿宋_GB2312"/>
          <w:sz w:val="28"/>
          <w:szCs w:val="28"/>
        </w:rPr>
        <w:t>101.59</w:t>
      </w:r>
      <w:r>
        <w:rPr>
          <w:rFonts w:ascii="仿宋_GB2312" w:eastAsia="仿宋_GB2312" w:hint="eastAsia"/>
          <w:sz w:val="28"/>
          <w:szCs w:val="28"/>
        </w:rPr>
        <w:t>%。其中：</w:t>
      </w:r>
    </w:p>
    <w:p w:rsidR="00193717" w:rsidRPr="00351571" w:rsidRDefault="00981FC2">
      <w:pPr>
        <w:spacing w:line="580" w:lineRule="exact"/>
        <w:ind w:firstLineChars="200" w:firstLine="560"/>
        <w:rPr>
          <w:rFonts w:ascii="仿宋_GB2312" w:eastAsia="仿宋_GB2312"/>
          <w:sz w:val="28"/>
          <w:szCs w:val="28"/>
        </w:rPr>
      </w:pPr>
      <w:r>
        <w:rPr>
          <w:rFonts w:ascii="仿宋_GB2312" w:eastAsia="仿宋_GB2312" w:hint="eastAsia"/>
          <w:sz w:val="28"/>
          <w:szCs w:val="28"/>
        </w:rPr>
        <w:t>“农业农村”（款）2024年度年初预算</w:t>
      </w:r>
      <w:r w:rsidR="006F3A40">
        <w:rPr>
          <w:rFonts w:ascii="仿宋_GB2312" w:eastAsia="仿宋_GB2312"/>
          <w:sz w:val="28"/>
          <w:szCs w:val="28"/>
        </w:rPr>
        <w:t>3803.24</w:t>
      </w:r>
      <w:r>
        <w:rPr>
          <w:rFonts w:ascii="仿宋_GB2312" w:eastAsia="仿宋_GB2312" w:hint="eastAsia"/>
          <w:sz w:val="28"/>
          <w:szCs w:val="28"/>
        </w:rPr>
        <w:t>万元，2024年度决算3863.62万元，完成年初预算的</w:t>
      </w:r>
      <w:r w:rsidR="006F3A40">
        <w:rPr>
          <w:rFonts w:ascii="仿宋_GB2312" w:eastAsia="仿宋_GB2312"/>
          <w:sz w:val="28"/>
          <w:szCs w:val="28"/>
        </w:rPr>
        <w:t>101.59</w:t>
      </w:r>
      <w:r>
        <w:rPr>
          <w:rFonts w:ascii="仿宋_GB2312" w:eastAsia="仿宋_GB2312" w:hint="eastAsia"/>
          <w:sz w:val="28"/>
          <w:szCs w:val="28"/>
        </w:rPr>
        <w:t>%。主要原因：</w:t>
      </w:r>
      <w:r w:rsidRPr="00351571">
        <w:rPr>
          <w:rFonts w:ascii="仿宋_GB2312" w:eastAsia="仿宋_GB2312" w:hint="eastAsia"/>
          <w:sz w:val="28"/>
          <w:szCs w:val="28"/>
        </w:rPr>
        <w:t>在职人员变动</w:t>
      </w:r>
      <w:r w:rsidR="00781B66" w:rsidRPr="00351571">
        <w:rPr>
          <w:rFonts w:ascii="仿宋_GB2312" w:eastAsia="仿宋_GB2312" w:hint="eastAsia"/>
          <w:sz w:val="28"/>
          <w:szCs w:val="28"/>
        </w:rPr>
        <w:t>,导致基本经费</w:t>
      </w:r>
      <w:r w:rsidR="00781B66" w:rsidRPr="00351571">
        <w:rPr>
          <w:rFonts w:ascii="仿宋_GB2312" w:eastAsia="仿宋_GB2312"/>
          <w:sz w:val="28"/>
          <w:szCs w:val="28"/>
        </w:rPr>
        <w:t>增加。</w:t>
      </w:r>
    </w:p>
    <w:p w:rsidR="00193717" w:rsidRDefault="00981FC2">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C13D74" w:rsidRDefault="00C13D74" w:rsidP="00C13D74">
      <w:pPr>
        <w:spacing w:line="56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193717" w:rsidRDefault="00981FC2">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C13D74" w:rsidRDefault="00C13D74" w:rsidP="00C13D74">
      <w:pPr>
        <w:spacing w:line="560" w:lineRule="exact"/>
        <w:ind w:left="600"/>
        <w:rPr>
          <w:rFonts w:ascii="仿宋_GB2312" w:eastAsia="仿宋_GB2312"/>
          <w:sz w:val="28"/>
          <w:szCs w:val="28"/>
        </w:rPr>
      </w:pPr>
      <w:r>
        <w:rPr>
          <w:rFonts w:ascii="仿宋_GB2312" w:eastAsia="仿宋_GB2312" w:hint="eastAsia"/>
          <w:sz w:val="28"/>
          <w:szCs w:val="28"/>
        </w:rPr>
        <w:t>本单位无此项经费。</w:t>
      </w:r>
    </w:p>
    <w:p w:rsidR="00193717" w:rsidRDefault="00981FC2">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193717" w:rsidRDefault="00981FC2">
      <w:pPr>
        <w:tabs>
          <w:tab w:val="center" w:pos="6979"/>
        </w:tabs>
        <w:spacing w:line="580" w:lineRule="exact"/>
        <w:ind w:firstLineChars="196" w:firstLine="549"/>
        <w:rPr>
          <w:rFonts w:ascii="仿宋_GB2312" w:eastAsia="仿宋_GB2312"/>
          <w:sz w:val="28"/>
          <w:szCs w:val="28"/>
        </w:rPr>
      </w:pPr>
      <w:r>
        <w:rPr>
          <w:rFonts w:ascii="仿宋_GB2312" w:eastAsia="仿宋_GB2312" w:hint="eastAsia"/>
          <w:sz w:val="28"/>
          <w:szCs w:val="28"/>
        </w:rPr>
        <w:lastRenderedPageBreak/>
        <w:t>2024年度使用一般公共预算财政拨款安排基本支出</w:t>
      </w:r>
      <w:r>
        <w:rPr>
          <w:rFonts w:ascii="仿宋_GB2312" w:eastAsia="仿宋_GB2312"/>
          <w:sz w:val="28"/>
          <w:szCs w:val="28"/>
        </w:rPr>
        <w:t>3524.67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193717" w:rsidRDefault="00193717">
      <w:pPr>
        <w:pStyle w:val="2"/>
        <w:rPr>
          <w:rFonts w:ascii="仿宋_GB2312" w:eastAsia="仿宋_GB2312"/>
          <w:sz w:val="28"/>
          <w:szCs w:val="28"/>
        </w:rPr>
      </w:pPr>
    </w:p>
    <w:p w:rsidR="00193717" w:rsidRDefault="00193717">
      <w:pPr>
        <w:rPr>
          <w:rFonts w:ascii="仿宋_GB2312" w:eastAsia="仿宋_GB2312"/>
          <w:sz w:val="28"/>
          <w:szCs w:val="28"/>
        </w:rPr>
      </w:pPr>
    </w:p>
    <w:p w:rsidR="00193717" w:rsidRDefault="00193717">
      <w:pPr>
        <w:pStyle w:val="2"/>
      </w:pPr>
    </w:p>
    <w:p w:rsidR="00CB4211" w:rsidRDefault="00CB4211" w:rsidP="00CB4211"/>
    <w:p w:rsidR="00CB4211" w:rsidRPr="00CB4211" w:rsidRDefault="00CB4211" w:rsidP="00CB4211">
      <w:pPr>
        <w:pStyle w:val="2"/>
      </w:pPr>
    </w:p>
    <w:p w:rsidR="00193717" w:rsidRDefault="00193717"/>
    <w:p w:rsidR="00193717" w:rsidRDefault="00981FC2">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193717" w:rsidRDefault="00981FC2">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193717" w:rsidRDefault="00981FC2">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193717" w:rsidRDefault="00981FC2">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38.63</w:t>
      </w:r>
      <w:r>
        <w:rPr>
          <w:rFonts w:ascii="仿宋_GB2312" w:eastAsia="仿宋_GB2312" w:hint="eastAsia"/>
          <w:sz w:val="28"/>
          <w:szCs w:val="28"/>
        </w:rPr>
        <w:t>万元，比2024年度“三公”经费财政拨款年初预算</w:t>
      </w:r>
      <w:r>
        <w:rPr>
          <w:rFonts w:ascii="仿宋_GB2312" w:eastAsia="仿宋_GB2312"/>
          <w:sz w:val="28"/>
          <w:szCs w:val="28"/>
        </w:rPr>
        <w:t>42.18</w:t>
      </w:r>
      <w:r>
        <w:rPr>
          <w:rFonts w:ascii="仿宋_GB2312" w:eastAsia="仿宋_GB2312" w:hint="eastAsia"/>
          <w:sz w:val="28"/>
          <w:szCs w:val="28"/>
        </w:rPr>
        <w:t>万元减少</w:t>
      </w:r>
      <w:r>
        <w:rPr>
          <w:rFonts w:ascii="仿宋_GB2312" w:eastAsia="仿宋_GB2312"/>
          <w:sz w:val="28"/>
          <w:szCs w:val="28"/>
        </w:rPr>
        <w:t>3.55</w:t>
      </w:r>
      <w:r>
        <w:rPr>
          <w:rFonts w:ascii="仿宋_GB2312" w:eastAsia="仿宋_GB2312" w:hint="eastAsia"/>
          <w:sz w:val="28"/>
          <w:szCs w:val="28"/>
        </w:rPr>
        <w:t>万元。其中：</w:t>
      </w:r>
    </w:p>
    <w:p w:rsidR="00193717" w:rsidRDefault="00981FC2">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因公出国（境）费用。本单位无此项经费。</w:t>
      </w:r>
    </w:p>
    <w:p w:rsidR="00193717" w:rsidRDefault="00981FC2">
      <w:pPr>
        <w:numPr>
          <w:ilvl w:val="0"/>
          <w:numId w:val="2"/>
        </w:numPr>
        <w:spacing w:line="560" w:lineRule="exact"/>
        <w:ind w:firstLine="600"/>
        <w:rPr>
          <w:rFonts w:ascii="仿宋_GB2312" w:eastAsia="仿宋_GB2312"/>
          <w:sz w:val="28"/>
          <w:szCs w:val="28"/>
        </w:rPr>
      </w:pPr>
      <w:r>
        <w:rPr>
          <w:rFonts w:ascii="仿宋_GB2312" w:eastAsia="仿宋_GB2312" w:hint="eastAsia"/>
          <w:sz w:val="28"/>
          <w:szCs w:val="28"/>
        </w:rPr>
        <w:t>公务接待费。本单位无此项经费。</w:t>
      </w:r>
    </w:p>
    <w:p w:rsidR="00193717" w:rsidRDefault="00981FC2">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38.63</w:t>
      </w:r>
      <w:r>
        <w:rPr>
          <w:rFonts w:ascii="仿宋_GB2312" w:eastAsia="仿宋_GB2312" w:hint="eastAsia"/>
          <w:sz w:val="28"/>
          <w:szCs w:val="28"/>
        </w:rPr>
        <w:t>万元，比2024年度年初预算数</w:t>
      </w:r>
      <w:r>
        <w:rPr>
          <w:rFonts w:ascii="仿宋_GB2312" w:eastAsia="仿宋_GB2312"/>
          <w:sz w:val="28"/>
          <w:szCs w:val="28"/>
        </w:rPr>
        <w:t>42.18</w:t>
      </w:r>
      <w:r>
        <w:rPr>
          <w:rFonts w:ascii="仿宋_GB2312" w:eastAsia="仿宋_GB2312" w:hint="eastAsia"/>
          <w:sz w:val="28"/>
          <w:szCs w:val="28"/>
        </w:rPr>
        <w:t>万元减少</w:t>
      </w:r>
      <w:r>
        <w:rPr>
          <w:rFonts w:ascii="仿宋_GB2312" w:eastAsia="仿宋_GB2312"/>
          <w:sz w:val="28"/>
          <w:szCs w:val="28"/>
        </w:rPr>
        <w:t>3.55</w:t>
      </w:r>
      <w:r>
        <w:rPr>
          <w:rFonts w:ascii="仿宋_GB2312" w:eastAsia="仿宋_GB2312" w:hint="eastAsia"/>
          <w:sz w:val="28"/>
          <w:szCs w:val="28"/>
        </w:rPr>
        <w:t>万元。其中，公务用车购置费2024年度决算数17.98万元，与2024年度年初预算数持平，2024年度购置（更新）1辆。公务用车运行维护费2024年度决算数20.65万元，主要原因：落实政府过紧日子的要求，压减和严控一般性支出。2024年度公务用车保有量</w:t>
      </w:r>
      <w:r>
        <w:rPr>
          <w:rFonts w:ascii="仿宋_GB2312" w:eastAsia="仿宋_GB2312"/>
          <w:sz w:val="28"/>
          <w:szCs w:val="28"/>
        </w:rPr>
        <w:t>13</w:t>
      </w:r>
      <w:r>
        <w:rPr>
          <w:rFonts w:ascii="仿宋_GB2312" w:eastAsia="仿宋_GB2312" w:hint="eastAsia"/>
          <w:sz w:val="28"/>
          <w:szCs w:val="28"/>
        </w:rPr>
        <w:t>辆。</w:t>
      </w:r>
    </w:p>
    <w:p w:rsidR="00193717" w:rsidRDefault="00981FC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193717" w:rsidRDefault="00981FC2">
      <w:pPr>
        <w:ind w:firstLineChars="192" w:firstLine="538"/>
        <w:rPr>
          <w:rFonts w:ascii="仿宋_GB2312" w:eastAsia="仿宋_GB2312"/>
          <w:sz w:val="28"/>
          <w:szCs w:val="28"/>
        </w:rPr>
      </w:pPr>
      <w:r>
        <w:rPr>
          <w:rFonts w:ascii="仿宋_GB2312" w:eastAsia="仿宋_GB2312" w:hint="eastAsia"/>
          <w:sz w:val="28"/>
          <w:szCs w:val="28"/>
        </w:rPr>
        <w:t>我单位不在</w:t>
      </w:r>
      <w:r>
        <w:rPr>
          <w:rFonts w:ascii="仿宋_GB2312" w:eastAsia="仿宋_GB2312"/>
          <w:sz w:val="28"/>
          <w:szCs w:val="28"/>
        </w:rPr>
        <w:t>机关运行经费统计范围之内。</w:t>
      </w:r>
    </w:p>
    <w:p w:rsidR="00193717" w:rsidRDefault="00981FC2">
      <w:pPr>
        <w:ind w:left="540"/>
        <w:rPr>
          <w:rFonts w:ascii="黑体" w:eastAsia="黑体"/>
          <w:sz w:val="28"/>
          <w:szCs w:val="28"/>
        </w:rPr>
      </w:pPr>
      <w:r>
        <w:rPr>
          <w:rFonts w:ascii="黑体" w:eastAsia="黑体" w:hint="eastAsia"/>
          <w:sz w:val="28"/>
          <w:szCs w:val="28"/>
        </w:rPr>
        <w:t>三、政府采购支出情况</w:t>
      </w:r>
    </w:p>
    <w:p w:rsidR="00193717" w:rsidRDefault="00981FC2">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465.43</w:t>
      </w:r>
      <w:r>
        <w:rPr>
          <w:rFonts w:ascii="仿宋_GB2312" w:eastAsia="仿宋_GB2312" w:hint="eastAsia"/>
          <w:sz w:val="28"/>
          <w:szCs w:val="28"/>
        </w:rPr>
        <w:t>万元，其中：政府采购货物支出</w:t>
      </w:r>
      <w:r>
        <w:rPr>
          <w:rFonts w:ascii="仿宋_GB2312" w:eastAsia="仿宋_GB2312"/>
          <w:sz w:val="28"/>
          <w:szCs w:val="28"/>
        </w:rPr>
        <w:t>164.97</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300.46</w:t>
      </w:r>
      <w:r>
        <w:rPr>
          <w:rFonts w:ascii="仿宋_GB2312" w:eastAsia="仿宋_GB2312" w:hint="eastAsia"/>
          <w:sz w:val="28"/>
          <w:szCs w:val="28"/>
        </w:rPr>
        <w:t>万元。授予中小企业合同金额</w:t>
      </w:r>
      <w:r>
        <w:rPr>
          <w:rFonts w:ascii="仿宋_GB2312" w:eastAsia="仿宋_GB2312"/>
          <w:sz w:val="28"/>
          <w:szCs w:val="28"/>
        </w:rPr>
        <w:t>465.43</w:t>
      </w:r>
      <w:r>
        <w:rPr>
          <w:rFonts w:ascii="仿宋_GB2312" w:eastAsia="仿宋_GB2312" w:hint="eastAsia"/>
          <w:sz w:val="28"/>
          <w:szCs w:val="28"/>
        </w:rPr>
        <w:t>万元，占政府采购支出总额的100%，其中：授予小微企业合同金额</w:t>
      </w:r>
      <w:r>
        <w:rPr>
          <w:rFonts w:ascii="仿宋_GB2312" w:eastAsia="仿宋_GB2312"/>
          <w:sz w:val="28"/>
          <w:szCs w:val="28"/>
        </w:rPr>
        <w:t>421.81</w:t>
      </w:r>
      <w:r>
        <w:rPr>
          <w:rFonts w:ascii="仿宋_GB2312" w:eastAsia="仿宋_GB2312" w:hint="eastAsia"/>
          <w:sz w:val="28"/>
          <w:szCs w:val="28"/>
        </w:rPr>
        <w:t>万元，占政府采购支出总额的</w:t>
      </w:r>
      <w:r>
        <w:rPr>
          <w:rFonts w:ascii="仿宋_GB2312" w:eastAsia="仿宋_GB2312"/>
          <w:sz w:val="28"/>
          <w:szCs w:val="28"/>
        </w:rPr>
        <w:t>90.63</w:t>
      </w:r>
      <w:r>
        <w:rPr>
          <w:rFonts w:ascii="仿宋_GB2312" w:eastAsia="仿宋_GB2312" w:hint="eastAsia"/>
          <w:sz w:val="28"/>
          <w:szCs w:val="28"/>
        </w:rPr>
        <w:t>%。</w:t>
      </w:r>
    </w:p>
    <w:p w:rsidR="00193717" w:rsidRDefault="00981FC2">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193717" w:rsidRDefault="00981FC2">
      <w:pPr>
        <w:ind w:firstLineChars="200" w:firstLine="560"/>
        <w:rPr>
          <w:rFonts w:ascii="仿宋_GB2312" w:eastAsia="仿宋_GB2312"/>
          <w:sz w:val="32"/>
          <w:szCs w:val="32"/>
        </w:rPr>
      </w:pPr>
      <w:r>
        <w:rPr>
          <w:rFonts w:ascii="仿宋_GB2312" w:eastAsia="仿宋_GB2312" w:hint="eastAsia"/>
          <w:sz w:val="28"/>
          <w:szCs w:val="28"/>
        </w:rPr>
        <w:t>截至12月31日，北京市畜牧总站共有车辆13台；单位价值100万元（含）以上的设备15台（套）。</w:t>
      </w:r>
    </w:p>
    <w:p w:rsidR="00193717" w:rsidRDefault="00981FC2">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193717" w:rsidRDefault="00981FC2">
      <w:pPr>
        <w:ind w:firstLineChars="192" w:firstLine="538"/>
        <w:rPr>
          <w:rFonts w:ascii="仿宋_GB2312" w:eastAsia="仿宋_GB2312"/>
          <w:sz w:val="28"/>
          <w:szCs w:val="28"/>
        </w:rPr>
      </w:pPr>
      <w:r>
        <w:rPr>
          <w:rFonts w:ascii="仿宋_GB2312" w:eastAsia="仿宋_GB2312" w:hint="eastAsia"/>
          <w:sz w:val="28"/>
          <w:szCs w:val="28"/>
        </w:rPr>
        <w:t>2024年度</w:t>
      </w:r>
      <w:r>
        <w:rPr>
          <w:rFonts w:ascii="仿宋_GB2312" w:eastAsia="仿宋_GB2312"/>
          <w:sz w:val="28"/>
          <w:szCs w:val="28"/>
        </w:rPr>
        <w:t>政府购买服务决算0</w:t>
      </w:r>
      <w:r>
        <w:rPr>
          <w:rFonts w:ascii="仿宋_GB2312" w:eastAsia="仿宋_GB2312" w:hint="eastAsia"/>
          <w:sz w:val="28"/>
          <w:szCs w:val="28"/>
        </w:rPr>
        <w:t>万元。</w:t>
      </w:r>
    </w:p>
    <w:p w:rsidR="00193717" w:rsidRDefault="00981FC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193717" w:rsidRDefault="00981FC2">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193717" w:rsidRDefault="00981FC2">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193717" w:rsidRDefault="00981FC2">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193717" w:rsidRDefault="00981FC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w:t>
      </w:r>
      <w:r>
        <w:rPr>
          <w:rFonts w:ascii="仿宋_GB2312" w:eastAsia="仿宋_GB2312"/>
          <w:sz w:val="28"/>
          <w:szCs w:val="28"/>
        </w:rPr>
        <w:lastRenderedPageBreak/>
        <w:t>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7.教育支出（类）进修及培训（款）培训支出（项）：反映各部门安排的用于培训的支出。</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8.科学技术支出（类）技术研究与开发（款）其他技术研究与开发支出（项）：反映除上述项目以外，其他用于技术研究与开发方面的支出。</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9.社会保障和就业支出（类）行政事业单位养老支出（款）事业单位离退休（项）：反映事业单位开支的离退休经费。</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10.社会保障和就业支出（类）行政事业单位养老支出（款）机关事业单位基本养老保险缴费支出（项）：反映机关事业单位实施养老保险制度由各单位缴纳的基本养老保险支出。</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11.社会保障和就业支出（类）行政事业单位养老支出（款）机关事业单位职业年金缴费支出（项）：反映机关事业单位实施养老保险制度由单位实际缴纳的职业年金支出。</w:t>
      </w:r>
    </w:p>
    <w:p w:rsidR="00193717" w:rsidRDefault="00981FC2">
      <w:pPr>
        <w:ind w:firstLineChars="150" w:firstLine="420"/>
        <w:rPr>
          <w:rFonts w:eastAsia="仿宋_GB2312"/>
        </w:rPr>
      </w:pPr>
      <w:r>
        <w:rPr>
          <w:rFonts w:ascii="仿宋_GB2312" w:eastAsia="仿宋_GB2312" w:hint="eastAsia"/>
          <w:sz w:val="28"/>
          <w:szCs w:val="28"/>
        </w:rPr>
        <w:t>12.卫生健康支出（类）行政事业单位医疗（款）事业单位医疗（项）：</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13.农林水支出（类）农业农村（款）事业运行（项）：反映用于农业事业单位基本支出，事业单位设施、系统运行与资产维护等方面的支出。</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lastRenderedPageBreak/>
        <w:t>14.农林水支出（类）农业农村（款）农产品质量安全（项）：反映用于农产品及其投人品的质量安全评估、监测、抽查、认证、应急处置，相关标准的制定、修订、实施、监管等方面的支出。</w:t>
      </w:r>
    </w:p>
    <w:p w:rsidR="00193717" w:rsidRDefault="00981FC2">
      <w:pPr>
        <w:ind w:firstLineChars="150" w:firstLine="420"/>
        <w:rPr>
          <w:rFonts w:ascii="仿宋_GB2312" w:eastAsia="仿宋_GB2312"/>
          <w:sz w:val="28"/>
          <w:szCs w:val="28"/>
        </w:rPr>
      </w:pPr>
      <w:r>
        <w:rPr>
          <w:rFonts w:ascii="仿宋_GB2312" w:eastAsia="仿宋_GB2312" w:hint="eastAsia"/>
          <w:sz w:val="28"/>
          <w:szCs w:val="28"/>
        </w:rPr>
        <w:t>15.农林水支出（类）农业农村（款）农业资源保护修复与利用（项）：反映用于耕地质量保护、草原草场利用，渔业水域资源环境保护，农业品种改良提升，以及农业生物资源调研收集、鉴定评价、保存利用等方面的支出。</w:t>
      </w:r>
    </w:p>
    <w:p w:rsidR="00193717" w:rsidRDefault="00193717">
      <w:pPr>
        <w:rPr>
          <w:rFonts w:ascii="黑体" w:eastAsia="黑体"/>
          <w:sz w:val="32"/>
          <w:szCs w:val="32"/>
        </w:rPr>
      </w:pPr>
    </w:p>
    <w:p w:rsidR="00193717" w:rsidRDefault="00193717">
      <w:pPr>
        <w:tabs>
          <w:tab w:val="center" w:pos="6979"/>
        </w:tabs>
        <w:spacing w:line="380" w:lineRule="exact"/>
        <w:jc w:val="center"/>
        <w:rPr>
          <w:rFonts w:ascii="宋体" w:hAnsi="宋体" w:cs="宋体"/>
          <w:b/>
          <w:bCs/>
          <w:kern w:val="0"/>
          <w:sz w:val="28"/>
          <w:szCs w:val="28"/>
        </w:rPr>
      </w:pPr>
    </w:p>
    <w:p w:rsidR="00193717" w:rsidRDefault="00193717">
      <w:pPr>
        <w:tabs>
          <w:tab w:val="center" w:pos="6979"/>
        </w:tabs>
        <w:spacing w:line="380" w:lineRule="exact"/>
        <w:jc w:val="center"/>
        <w:rPr>
          <w:rFonts w:ascii="宋体" w:hAnsi="宋体" w:cs="宋体"/>
          <w:b/>
          <w:bCs/>
          <w:kern w:val="0"/>
          <w:sz w:val="28"/>
          <w:szCs w:val="28"/>
        </w:rPr>
      </w:pPr>
    </w:p>
    <w:p w:rsidR="00193717" w:rsidRDefault="00193717">
      <w:pPr>
        <w:rPr>
          <w:rFonts w:ascii="黑体" w:eastAsia="黑体"/>
          <w:sz w:val="32"/>
          <w:szCs w:val="32"/>
        </w:rPr>
      </w:pPr>
    </w:p>
    <w:p w:rsidR="00193717" w:rsidRDefault="00193717">
      <w:pPr>
        <w:pStyle w:val="2"/>
        <w:rPr>
          <w:rFonts w:ascii="黑体"/>
          <w:sz w:val="32"/>
        </w:rPr>
      </w:pPr>
    </w:p>
    <w:p w:rsidR="00193717" w:rsidRDefault="00193717">
      <w:pPr>
        <w:rPr>
          <w:rFonts w:ascii="黑体" w:eastAsia="黑体"/>
          <w:sz w:val="32"/>
          <w:szCs w:val="32"/>
        </w:rPr>
      </w:pPr>
    </w:p>
    <w:p w:rsidR="00193717" w:rsidRDefault="00193717">
      <w:pPr>
        <w:pStyle w:val="2"/>
        <w:rPr>
          <w:rFonts w:ascii="黑体"/>
          <w:sz w:val="32"/>
        </w:rPr>
      </w:pPr>
    </w:p>
    <w:p w:rsidR="00193717" w:rsidRDefault="00193717">
      <w:pPr>
        <w:pStyle w:val="2"/>
        <w:rPr>
          <w:rFonts w:ascii="黑体"/>
          <w:sz w:val="32"/>
        </w:rPr>
      </w:pPr>
    </w:p>
    <w:p w:rsidR="00193717" w:rsidRDefault="00193717"/>
    <w:p w:rsidR="00193717" w:rsidRDefault="00193717"/>
    <w:p w:rsidR="00193717" w:rsidRDefault="00193717">
      <w:pPr>
        <w:ind w:firstLineChars="200" w:firstLine="640"/>
        <w:jc w:val="center"/>
        <w:rPr>
          <w:rFonts w:ascii="黑体" w:eastAsia="黑体"/>
          <w:sz w:val="32"/>
          <w:szCs w:val="32"/>
        </w:rPr>
      </w:pPr>
    </w:p>
    <w:p w:rsidR="00193717" w:rsidRDefault="00981FC2">
      <w:pPr>
        <w:ind w:firstLineChars="200" w:firstLine="640"/>
        <w:jc w:val="center"/>
        <w:rPr>
          <w:rFonts w:ascii="黑体" w:eastAsia="黑体"/>
          <w:sz w:val="32"/>
          <w:szCs w:val="32"/>
        </w:rPr>
      </w:pPr>
      <w:r>
        <w:rPr>
          <w:rFonts w:ascii="黑体" w:eastAsia="黑体" w:hint="eastAsia"/>
          <w:sz w:val="32"/>
          <w:szCs w:val="32"/>
        </w:rPr>
        <w:lastRenderedPageBreak/>
        <w:t>第四部分  2024年度部门绩效评价情况</w:t>
      </w:r>
    </w:p>
    <w:p w:rsidR="00193717" w:rsidRDefault="00193717">
      <w:pPr>
        <w:ind w:firstLineChars="200" w:firstLine="560"/>
        <w:rPr>
          <w:rFonts w:ascii="黑体" w:eastAsia="黑体"/>
          <w:sz w:val="28"/>
          <w:szCs w:val="28"/>
          <w:highlight w:val="yellow"/>
        </w:rPr>
      </w:pPr>
    </w:p>
    <w:p w:rsidR="00193717" w:rsidRDefault="00981FC2">
      <w:pPr>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193717" w:rsidRDefault="00193717">
      <w:pPr>
        <w:spacing w:line="480" w:lineRule="exact"/>
        <w:rPr>
          <w:rFonts w:ascii="仿宋_GB2312" w:eastAsia="仿宋_GB2312" w:hAnsi="仿宋_GB2312" w:cs="仿宋_GB2312"/>
          <w:sz w:val="32"/>
          <w:szCs w:val="32"/>
        </w:rPr>
      </w:pPr>
    </w:p>
    <w:p w:rsidR="00193717" w:rsidRDefault="00193717">
      <w:pPr>
        <w:spacing w:line="480" w:lineRule="exact"/>
      </w:pPr>
    </w:p>
    <w:sectPr w:rsidR="00193717">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8FB" w:rsidRDefault="004508FB">
      <w:r>
        <w:separator/>
      </w:r>
    </w:p>
  </w:endnote>
  <w:endnote w:type="continuationSeparator" w:id="0">
    <w:p w:rsidR="004508FB" w:rsidRDefault="00450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仿宋">
    <w:altName w:val="Arial Unicode MS"/>
    <w:charset w:val="86"/>
    <w:family w:val="modern"/>
    <w:pitch w:val="default"/>
    <w:sig w:usb0="00000000"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717" w:rsidRDefault="00981FC2">
    <w:pPr>
      <w:pStyle w:val="a7"/>
      <w:framePr w:wrap="around" w:vAnchor="text" w:hAnchor="margin" w:xAlign="center" w:y="1"/>
      <w:rPr>
        <w:rStyle w:val="ab"/>
      </w:rPr>
    </w:pPr>
    <w:r>
      <w:fldChar w:fldCharType="begin"/>
    </w:r>
    <w:r>
      <w:rPr>
        <w:rStyle w:val="ab"/>
      </w:rPr>
      <w:instrText xml:space="preserve">PAGE  </w:instrText>
    </w:r>
    <w:r>
      <w:fldChar w:fldCharType="separate"/>
    </w:r>
    <w:r w:rsidR="00C07FBF">
      <w:rPr>
        <w:rStyle w:val="ab"/>
        <w:noProof/>
      </w:rPr>
      <w:t>3</w:t>
    </w:r>
    <w:r>
      <w:fldChar w:fldCharType="end"/>
    </w:r>
  </w:p>
  <w:p w:rsidR="00193717" w:rsidRDefault="0019371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717" w:rsidRDefault="00981FC2">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193717" w:rsidRDefault="0019371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717" w:rsidRDefault="00981FC2">
    <w:pPr>
      <w:pStyle w:val="a7"/>
      <w:framePr w:wrap="around" w:vAnchor="text" w:hAnchor="margin" w:xAlign="center" w:y="1"/>
      <w:rPr>
        <w:rStyle w:val="ab"/>
      </w:rPr>
    </w:pPr>
    <w:r>
      <w:fldChar w:fldCharType="begin"/>
    </w:r>
    <w:r>
      <w:rPr>
        <w:rStyle w:val="ab"/>
      </w:rPr>
      <w:instrText xml:space="preserve">PAGE  </w:instrText>
    </w:r>
    <w:r>
      <w:fldChar w:fldCharType="separate"/>
    </w:r>
    <w:r w:rsidR="00C07FBF">
      <w:rPr>
        <w:rStyle w:val="ab"/>
        <w:noProof/>
      </w:rPr>
      <w:t>6</w:t>
    </w:r>
    <w:r>
      <w:fldChar w:fldCharType="end"/>
    </w:r>
  </w:p>
  <w:p w:rsidR="00193717" w:rsidRDefault="0019371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8FB" w:rsidRDefault="004508FB">
      <w:r>
        <w:separator/>
      </w:r>
    </w:p>
  </w:footnote>
  <w:footnote w:type="continuationSeparator" w:id="0">
    <w:p w:rsidR="004508FB" w:rsidRDefault="004508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AEA85D"/>
    <w:multiLevelType w:val="singleLevel"/>
    <w:tmpl w:val="68AEA85D"/>
    <w:lvl w:ilvl="0">
      <w:start w:val="3"/>
      <w:numFmt w:val="decimal"/>
      <w:suff w:val="nothing"/>
      <w:lvlText w:val="%1、"/>
      <w:lvlJc w:val="left"/>
    </w:lvl>
  </w:abstractNum>
  <w:abstractNum w:abstractNumId="1">
    <w:nsid w:val="68AEAD53"/>
    <w:multiLevelType w:val="singleLevel"/>
    <w:tmpl w:val="68AEAD53"/>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12248"/>
    <w:rsid w:val="00027CD5"/>
    <w:rsid w:val="00031049"/>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453"/>
    <w:rsid w:val="0018370E"/>
    <w:rsid w:val="001852E1"/>
    <w:rsid w:val="00191568"/>
    <w:rsid w:val="00193717"/>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571"/>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8FB"/>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0FA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0CF9"/>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2EC"/>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3A40"/>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81B66"/>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1FC2"/>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684C"/>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357B"/>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07FBF"/>
    <w:rsid w:val="00C132B6"/>
    <w:rsid w:val="00C13D74"/>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4211"/>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5381A"/>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2F78C1"/>
    <w:rsid w:val="0456682C"/>
    <w:rsid w:val="047B4D3D"/>
    <w:rsid w:val="04C3537C"/>
    <w:rsid w:val="05C456F9"/>
    <w:rsid w:val="05F00FD1"/>
    <w:rsid w:val="067D51CD"/>
    <w:rsid w:val="07116AC3"/>
    <w:rsid w:val="071C5FD0"/>
    <w:rsid w:val="07757B55"/>
    <w:rsid w:val="078376FB"/>
    <w:rsid w:val="079004AC"/>
    <w:rsid w:val="07A447FE"/>
    <w:rsid w:val="082A19DB"/>
    <w:rsid w:val="09572882"/>
    <w:rsid w:val="098126A9"/>
    <w:rsid w:val="09D25BC1"/>
    <w:rsid w:val="0A9123C4"/>
    <w:rsid w:val="0BA148CA"/>
    <w:rsid w:val="0C1165C4"/>
    <w:rsid w:val="0C5974D4"/>
    <w:rsid w:val="0C64652C"/>
    <w:rsid w:val="0D6D544B"/>
    <w:rsid w:val="0DC9225D"/>
    <w:rsid w:val="0DD136FE"/>
    <w:rsid w:val="0EB06FD0"/>
    <w:rsid w:val="0F062198"/>
    <w:rsid w:val="0F2C4ECE"/>
    <w:rsid w:val="0F8E2C57"/>
    <w:rsid w:val="1059665E"/>
    <w:rsid w:val="106B6034"/>
    <w:rsid w:val="10AC13BA"/>
    <w:rsid w:val="11F43C9D"/>
    <w:rsid w:val="12C04A1F"/>
    <w:rsid w:val="145A6C1B"/>
    <w:rsid w:val="14B73493"/>
    <w:rsid w:val="14FC1D79"/>
    <w:rsid w:val="15BE4C48"/>
    <w:rsid w:val="16212BBF"/>
    <w:rsid w:val="16376F5E"/>
    <w:rsid w:val="167A2FF9"/>
    <w:rsid w:val="17602C87"/>
    <w:rsid w:val="17B8642A"/>
    <w:rsid w:val="18581C69"/>
    <w:rsid w:val="188A2827"/>
    <w:rsid w:val="188C5BF0"/>
    <w:rsid w:val="19152CAC"/>
    <w:rsid w:val="1A6409BB"/>
    <w:rsid w:val="1AEC0734"/>
    <w:rsid w:val="1B922026"/>
    <w:rsid w:val="1C444692"/>
    <w:rsid w:val="1CF65322"/>
    <w:rsid w:val="1D575B5E"/>
    <w:rsid w:val="1D597EEE"/>
    <w:rsid w:val="1D6B3810"/>
    <w:rsid w:val="1DEF20B0"/>
    <w:rsid w:val="1E507B77"/>
    <w:rsid w:val="1EAE3AFF"/>
    <w:rsid w:val="1EB77C3D"/>
    <w:rsid w:val="1F296700"/>
    <w:rsid w:val="1F6B7FEB"/>
    <w:rsid w:val="2020056F"/>
    <w:rsid w:val="205A57DB"/>
    <w:rsid w:val="207424C0"/>
    <w:rsid w:val="21244877"/>
    <w:rsid w:val="214243FA"/>
    <w:rsid w:val="21AD613C"/>
    <w:rsid w:val="22467189"/>
    <w:rsid w:val="241633B3"/>
    <w:rsid w:val="24F849E5"/>
    <w:rsid w:val="255A3760"/>
    <w:rsid w:val="257A14F5"/>
    <w:rsid w:val="25CE61A4"/>
    <w:rsid w:val="2613168B"/>
    <w:rsid w:val="264F5696"/>
    <w:rsid w:val="26E24F59"/>
    <w:rsid w:val="27196C26"/>
    <w:rsid w:val="2732092B"/>
    <w:rsid w:val="27576C5C"/>
    <w:rsid w:val="27DD3651"/>
    <w:rsid w:val="28231A39"/>
    <w:rsid w:val="282710DB"/>
    <w:rsid w:val="28367C7B"/>
    <w:rsid w:val="28520B44"/>
    <w:rsid w:val="29C37AB4"/>
    <w:rsid w:val="29EF086F"/>
    <w:rsid w:val="2AA77B71"/>
    <w:rsid w:val="2AC5472D"/>
    <w:rsid w:val="2B0935BB"/>
    <w:rsid w:val="2BE7478F"/>
    <w:rsid w:val="2C1209F1"/>
    <w:rsid w:val="2DF9117E"/>
    <w:rsid w:val="2EB25EA5"/>
    <w:rsid w:val="2EBC5304"/>
    <w:rsid w:val="2EFFE297"/>
    <w:rsid w:val="2F604093"/>
    <w:rsid w:val="301437CA"/>
    <w:rsid w:val="328F1A0E"/>
    <w:rsid w:val="33B2228A"/>
    <w:rsid w:val="34902E23"/>
    <w:rsid w:val="349D1F0A"/>
    <w:rsid w:val="34DD0473"/>
    <w:rsid w:val="3695235D"/>
    <w:rsid w:val="37704F96"/>
    <w:rsid w:val="38545ECC"/>
    <w:rsid w:val="38AC2082"/>
    <w:rsid w:val="39BC3170"/>
    <w:rsid w:val="3A220686"/>
    <w:rsid w:val="3C684897"/>
    <w:rsid w:val="3C847B75"/>
    <w:rsid w:val="3C9C087B"/>
    <w:rsid w:val="3CB810A2"/>
    <w:rsid w:val="3CEE63B7"/>
    <w:rsid w:val="3D2B1C83"/>
    <w:rsid w:val="3D6D7A39"/>
    <w:rsid w:val="3E2C3B11"/>
    <w:rsid w:val="3FBE4140"/>
    <w:rsid w:val="40863FD8"/>
    <w:rsid w:val="41282598"/>
    <w:rsid w:val="4135500D"/>
    <w:rsid w:val="41BD01B6"/>
    <w:rsid w:val="41E33051"/>
    <w:rsid w:val="422549BE"/>
    <w:rsid w:val="422B7311"/>
    <w:rsid w:val="433E495C"/>
    <w:rsid w:val="45547C2A"/>
    <w:rsid w:val="46B35EAB"/>
    <w:rsid w:val="473C4589"/>
    <w:rsid w:val="489F2FD7"/>
    <w:rsid w:val="49FC6784"/>
    <w:rsid w:val="4A1273AD"/>
    <w:rsid w:val="4A4A3BA7"/>
    <w:rsid w:val="4AC27CB3"/>
    <w:rsid w:val="4BF72BEF"/>
    <w:rsid w:val="4D6D0592"/>
    <w:rsid w:val="4D940E46"/>
    <w:rsid w:val="4DDB6538"/>
    <w:rsid w:val="4FA90297"/>
    <w:rsid w:val="4FB21840"/>
    <w:rsid w:val="4FC41A43"/>
    <w:rsid w:val="51DB3C59"/>
    <w:rsid w:val="51DD5204"/>
    <w:rsid w:val="525B087D"/>
    <w:rsid w:val="53A82D9A"/>
    <w:rsid w:val="550C0952"/>
    <w:rsid w:val="55762E42"/>
    <w:rsid w:val="55C74376"/>
    <w:rsid w:val="569A5D64"/>
    <w:rsid w:val="575178DB"/>
    <w:rsid w:val="57597E44"/>
    <w:rsid w:val="57632AF8"/>
    <w:rsid w:val="57A7B272"/>
    <w:rsid w:val="57DB6403"/>
    <w:rsid w:val="58470068"/>
    <w:rsid w:val="58747CAC"/>
    <w:rsid w:val="59074C08"/>
    <w:rsid w:val="59146964"/>
    <w:rsid w:val="592875C1"/>
    <w:rsid w:val="5A1720F9"/>
    <w:rsid w:val="5AA87937"/>
    <w:rsid w:val="5AB738FF"/>
    <w:rsid w:val="5AD10421"/>
    <w:rsid w:val="5ADD238D"/>
    <w:rsid w:val="5B9C37C2"/>
    <w:rsid w:val="5BA7C654"/>
    <w:rsid w:val="5C1361BA"/>
    <w:rsid w:val="5C822C23"/>
    <w:rsid w:val="5D310116"/>
    <w:rsid w:val="5D586F2C"/>
    <w:rsid w:val="5DBF5138"/>
    <w:rsid w:val="60A54109"/>
    <w:rsid w:val="60A72B24"/>
    <w:rsid w:val="60D2795C"/>
    <w:rsid w:val="61415A28"/>
    <w:rsid w:val="61D01CDF"/>
    <w:rsid w:val="621D4CFA"/>
    <w:rsid w:val="62E252D9"/>
    <w:rsid w:val="635428FA"/>
    <w:rsid w:val="63F753D7"/>
    <w:rsid w:val="64203D63"/>
    <w:rsid w:val="64294F5B"/>
    <w:rsid w:val="64C0607C"/>
    <w:rsid w:val="65413CF3"/>
    <w:rsid w:val="65756C86"/>
    <w:rsid w:val="65AC78B5"/>
    <w:rsid w:val="66EE57C4"/>
    <w:rsid w:val="674D385B"/>
    <w:rsid w:val="676F09E1"/>
    <w:rsid w:val="68860FE1"/>
    <w:rsid w:val="68F6044E"/>
    <w:rsid w:val="692A183C"/>
    <w:rsid w:val="696E7F39"/>
    <w:rsid w:val="697C24D9"/>
    <w:rsid w:val="6BA2683F"/>
    <w:rsid w:val="6CC92FCD"/>
    <w:rsid w:val="6D6275A3"/>
    <w:rsid w:val="6E2E0D0E"/>
    <w:rsid w:val="6F6D6DB6"/>
    <w:rsid w:val="6FC32A8D"/>
    <w:rsid w:val="703C6BEC"/>
    <w:rsid w:val="71793A80"/>
    <w:rsid w:val="721169F0"/>
    <w:rsid w:val="72A46D00"/>
    <w:rsid w:val="7357290B"/>
    <w:rsid w:val="73B86FDB"/>
    <w:rsid w:val="73BA61BF"/>
    <w:rsid w:val="73E926B9"/>
    <w:rsid w:val="7504439A"/>
    <w:rsid w:val="75DE48DD"/>
    <w:rsid w:val="75EA6955"/>
    <w:rsid w:val="761A7341"/>
    <w:rsid w:val="76933665"/>
    <w:rsid w:val="78326E48"/>
    <w:rsid w:val="785953D5"/>
    <w:rsid w:val="791C43EB"/>
    <w:rsid w:val="798524E4"/>
    <w:rsid w:val="7A7C62A3"/>
    <w:rsid w:val="7A7F1C49"/>
    <w:rsid w:val="7AA43318"/>
    <w:rsid w:val="7AB43DC5"/>
    <w:rsid w:val="7B5B7AE6"/>
    <w:rsid w:val="7B7B6628"/>
    <w:rsid w:val="7BA7071E"/>
    <w:rsid w:val="7BDF6DA8"/>
    <w:rsid w:val="7C7EDC1A"/>
    <w:rsid w:val="7CCED98D"/>
    <w:rsid w:val="7D08410F"/>
    <w:rsid w:val="7DB4503D"/>
    <w:rsid w:val="7DB96DED"/>
    <w:rsid w:val="7DD3AD81"/>
    <w:rsid w:val="7E840CC9"/>
    <w:rsid w:val="7EC566E6"/>
    <w:rsid w:val="7ECD31EF"/>
    <w:rsid w:val="7F6C659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BDCBC2-CB24-496D-992C-0FF1C1E6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layout>
                <c:manualLayout>
                  <c:x val="-2.0453598507466648E-2"/>
                  <c:y val="-9.1865142244216373E-3"/>
                </c:manualLayout>
              </c:layout>
              <c:dLblPos val="bestFit"/>
              <c:showLegendKey val="0"/>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0"/>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5449.55</c:v>
                </c:pt>
                <c:pt idx="1">
                  <c:v>0</c:v>
                </c:pt>
                <c:pt idx="2">
                  <c:v>0</c:v>
                </c:pt>
                <c:pt idx="3">
                  <c:v>0</c:v>
                </c:pt>
                <c:pt idx="4">
                  <c:v>0</c:v>
                </c:pt>
                <c:pt idx="5">
                  <c:v>25.3</c:v>
                </c:pt>
              </c:numCache>
            </c:numRef>
          </c:val>
        </c:ser>
        <c:dLbls>
          <c:showLegendKey val="0"/>
          <c:showVal val="1"/>
          <c:showCatName val="0"/>
          <c:showSerName val="0"/>
          <c:showPercent val="0"/>
          <c:showBubbleSize val="0"/>
          <c:showLeaderLines val="0"/>
        </c:dLbls>
        <c:firstSliceAng val="0"/>
      </c:pieChart>
    </c:plotArea>
    <c:legend>
      <c:legendPos val="r"/>
      <c:legendEntry>
        <c:idx val="1"/>
        <c:delete val="1"/>
      </c:legendEntry>
      <c:legendEntry>
        <c:idx val="2"/>
        <c:delete val="1"/>
      </c:legendEntry>
      <c:legendEntry>
        <c:idx val="3"/>
        <c:delete val="1"/>
      </c:legendEntry>
      <c:legendEntry>
        <c:idx val="4"/>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3524.97</c:v>
                </c:pt>
                <c:pt idx="1">
                  <c:v>1749.75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14</Pages>
  <Words>698</Words>
  <Characters>3982</Characters>
  <Application>Microsoft Office Word</Application>
  <DocSecurity>0</DocSecurity>
  <Lines>33</Lines>
  <Paragraphs>9</Paragraphs>
  <ScaleCrop>false</ScaleCrop>
  <Company/>
  <LinksUpToDate>false</LinksUpToDate>
  <CharactersWithSpaces>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李瞳(综合科/畜牧总站)</cp:lastModifiedBy>
  <cp:revision>83</cp:revision>
  <cp:lastPrinted>2020-08-07T11:39:00Z</cp:lastPrinted>
  <dcterms:created xsi:type="dcterms:W3CDTF">2017-07-11T15:16:00Z</dcterms:created>
  <dcterms:modified xsi:type="dcterms:W3CDTF">2025-09-08T01:22:00Z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