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北京市水生野生动植物救护中心</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ind w:firstLine="2600" w:firstLineChars="500"/>
        <w:jc w:val="both"/>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lang w:eastAsia="zh-CN"/>
        </w:rPr>
        <w:t>（一）</w:t>
      </w: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rPr>
        <w:t>职责</w:t>
      </w:r>
    </w:p>
    <w:p>
      <w:pPr>
        <w:pStyle w:val="3"/>
        <w:ind w:firstLine="560"/>
        <w:rPr>
          <w:rFonts w:ascii="仿宋_GB2312" w:eastAsia="仿宋_GB2312"/>
          <w:sz w:val="28"/>
          <w:szCs w:val="28"/>
        </w:rPr>
      </w:pPr>
      <w:r>
        <w:rPr>
          <w:rFonts w:hint="eastAsia" w:ascii="仿宋_GB2312" w:eastAsia="仿宋_GB2312"/>
          <w:sz w:val="28"/>
          <w:szCs w:val="28"/>
        </w:rPr>
        <w:t>北京市水生野生动植物救护中心为北京市农业农村局下属公益一类事业单位，内设 4个科室，分别为野生动植物保护科、救治驯养繁育科、科研监测科和办公室</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主要职责是救治保护、驯养繁育、科普宣传。具体如下：救治、放生北京地区的水生野生动物；宣传、普及水生野生动物保护知识，提高北京市民保护野生动物的意识；储备水生野生动物物种资源，开展水生野生动物的基础研究和驯养繁殖；协助有关部门划定北京市地方保护的水生野生动物种类；根据国家法律法规和我市的具体实际，制定水生野生动物资源保护措施；组织对水生野生动物资源的普查、专项调查及资源动态监控，建立水生野生动物资源档案，为政府有关部门及其它单位保护和合理利用水生野生动物资源提供依据；负责对列入《濒危野生动植物种国际贸易公约》的水生野生动物进行种质和生理生态研究、引种试验研究；接受委托对水生野生动物进行分类鉴定。</w:t>
      </w:r>
    </w:p>
    <w:p>
      <w:pPr>
        <w:tabs>
          <w:tab w:val="center" w:pos="6979"/>
        </w:tabs>
        <w:spacing w:line="580" w:lineRule="exact"/>
        <w:ind w:firstLine="560" w:firstLineChars="200"/>
        <w:rPr>
          <w:rFonts w:hint="eastAsia" w:ascii="黑体" w:eastAsia="黑体"/>
          <w:b/>
          <w:sz w:val="28"/>
          <w:szCs w:val="28"/>
        </w:rPr>
      </w:pPr>
    </w:p>
    <w:p>
      <w:pPr>
        <w:tabs>
          <w:tab w:val="center" w:pos="6979"/>
        </w:tabs>
        <w:spacing w:line="580" w:lineRule="exact"/>
        <w:ind w:firstLine="560" w:firstLineChars="200"/>
        <w:rPr>
          <w:rFonts w:hint="eastAsia" w:ascii="黑体" w:eastAsia="黑体"/>
          <w:b/>
          <w:sz w:val="28"/>
          <w:szCs w:val="28"/>
        </w:rPr>
      </w:pPr>
    </w:p>
    <w:p>
      <w:pPr>
        <w:tabs>
          <w:tab w:val="center" w:pos="6979"/>
        </w:tabs>
        <w:spacing w:line="580" w:lineRule="exact"/>
        <w:ind w:firstLine="560" w:firstLineChars="200"/>
        <w:rPr>
          <w:rFonts w:hint="eastAsia" w:ascii="黑体" w:eastAsia="黑体"/>
          <w:b/>
          <w:sz w:val="28"/>
          <w:szCs w:val="28"/>
        </w:rPr>
      </w:pPr>
    </w:p>
    <w:p>
      <w:pPr>
        <w:tabs>
          <w:tab w:val="center" w:pos="6979"/>
        </w:tabs>
        <w:spacing w:line="580" w:lineRule="exact"/>
        <w:ind w:firstLine="560" w:firstLineChars="200"/>
        <w:rPr>
          <w:rFonts w:hint="eastAsia" w:ascii="黑体" w:eastAsia="黑体"/>
          <w:b/>
          <w:sz w:val="28"/>
          <w:szCs w:val="28"/>
        </w:rPr>
      </w:pPr>
    </w:p>
    <w:p>
      <w:pPr>
        <w:tabs>
          <w:tab w:val="center" w:pos="6979"/>
        </w:tabs>
        <w:spacing w:line="580" w:lineRule="exact"/>
        <w:ind w:firstLine="560" w:firstLineChars="200"/>
        <w:rPr>
          <w:rFonts w:hint="eastAsia" w:ascii="黑体" w:eastAsia="黑体"/>
          <w:b/>
          <w:sz w:val="28"/>
          <w:szCs w:val="28"/>
        </w:rPr>
      </w:pP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1251.93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488.38</w:t>
      </w:r>
      <w:r>
        <w:rPr>
          <w:rFonts w:hint="eastAsia" w:ascii="仿宋_GB2312" w:eastAsia="仿宋_GB2312"/>
          <w:sz w:val="28"/>
          <w:szCs w:val="28"/>
        </w:rPr>
        <w:t>万元，下降</w:t>
      </w:r>
      <w:r>
        <w:rPr>
          <w:rFonts w:hint="eastAsia" w:ascii="仿宋_GB2312" w:eastAsia="仿宋_GB2312"/>
          <w:sz w:val="28"/>
          <w:szCs w:val="28"/>
          <w:lang w:val="en-US" w:eastAsia="zh-CN"/>
        </w:rPr>
        <w:t>28.06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1251.46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448.89</w:t>
      </w:r>
      <w:r>
        <w:rPr>
          <w:rFonts w:hint="eastAsia" w:ascii="仿宋_GB2312" w:eastAsia="仿宋_GB2312"/>
          <w:sz w:val="28"/>
          <w:szCs w:val="28"/>
        </w:rPr>
        <w:t>万元，下降</w:t>
      </w:r>
      <w:r>
        <w:rPr>
          <w:rFonts w:hint="eastAsia" w:ascii="仿宋_GB2312" w:eastAsia="仿宋_GB2312"/>
          <w:sz w:val="28"/>
          <w:szCs w:val="28"/>
          <w:lang w:val="en-US" w:eastAsia="zh-CN"/>
        </w:rPr>
        <w:t>26.04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1248.14</w:t>
      </w:r>
      <w:r>
        <w:rPr>
          <w:rFonts w:hint="eastAsia" w:ascii="仿宋_GB2312" w:eastAsia="仿宋_GB2312"/>
          <w:sz w:val="28"/>
          <w:szCs w:val="28"/>
        </w:rPr>
        <w:t>万元，占收入合计的</w:t>
      </w:r>
      <w:r>
        <w:rPr>
          <w:rFonts w:hint="eastAsia" w:ascii="仿宋_GB2312" w:eastAsia="仿宋_GB2312"/>
          <w:sz w:val="28"/>
          <w:szCs w:val="28"/>
          <w:lang w:eastAsia="zh-CN"/>
        </w:rPr>
        <w:t>99.73%。</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1248.14</w:t>
      </w:r>
      <w:r>
        <w:rPr>
          <w:rFonts w:hint="eastAsia" w:ascii="仿宋_GB2312" w:eastAsia="仿宋_GB2312"/>
          <w:sz w:val="28"/>
          <w:szCs w:val="28"/>
        </w:rPr>
        <w:t>万元，占收入合计的</w:t>
      </w:r>
      <w:r>
        <w:rPr>
          <w:rFonts w:hint="eastAsia" w:ascii="仿宋_GB2312" w:eastAsia="仿宋_GB2312"/>
          <w:sz w:val="28"/>
          <w:szCs w:val="28"/>
          <w:lang w:eastAsia="zh-CN"/>
        </w:rPr>
        <w:t>99.73</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3.32</w:t>
      </w:r>
      <w:r>
        <w:rPr>
          <w:rFonts w:hint="eastAsia" w:ascii="仿宋_GB2312" w:eastAsia="仿宋_GB2312"/>
          <w:sz w:val="28"/>
          <w:szCs w:val="28"/>
        </w:rPr>
        <w:t>万元，占收入合计的</w:t>
      </w:r>
      <w:r>
        <w:rPr>
          <w:rFonts w:hint="eastAsia" w:ascii="仿宋_GB2312" w:eastAsia="仿宋_GB2312"/>
          <w:sz w:val="28"/>
          <w:szCs w:val="28"/>
          <w:lang w:eastAsia="zh-CN"/>
        </w:rPr>
        <w:t>0.27</w:t>
      </w:r>
      <w:r>
        <w:rPr>
          <w:rFonts w:hint="eastAsia" w:ascii="仿宋_GB2312" w:eastAsia="仿宋_GB2312"/>
          <w:sz w:val="28"/>
          <w:szCs w:val="28"/>
        </w:rPr>
        <w:t>%。</w:t>
      </w:r>
    </w:p>
    <w:p>
      <w:pPr>
        <w:pStyle w:val="2"/>
        <w:jc w:val="center"/>
      </w:pPr>
      <w:r>
        <w:rPr>
          <w:rFonts w:hint="eastAsia" w:ascii="仿宋_GB2312" w:eastAsia="仿宋_GB2312"/>
          <w:color w:val="000000"/>
          <w:sz w:val="32"/>
        </w:rPr>
        <w:t>图1：收入决算</w:t>
      </w:r>
    </w:p>
    <w:p>
      <w:pPr>
        <w:jc w:val="center"/>
      </w:pPr>
      <w:r>
        <w:drawing>
          <wp:inline distT="0" distB="0" distL="114300" distR="114300">
            <wp:extent cx="4572000" cy="2743200"/>
            <wp:effectExtent l="4445" t="4445" r="1460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1127.98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497.33</w:t>
      </w:r>
      <w:r>
        <w:rPr>
          <w:rFonts w:hint="eastAsia" w:ascii="仿宋_GB2312" w:eastAsia="仿宋_GB2312"/>
          <w:sz w:val="28"/>
          <w:szCs w:val="28"/>
        </w:rPr>
        <w:t>万元，下降</w:t>
      </w:r>
      <w:r>
        <w:rPr>
          <w:rFonts w:hint="eastAsia" w:ascii="仿宋_GB2312" w:eastAsia="仿宋_GB2312"/>
          <w:sz w:val="28"/>
          <w:szCs w:val="28"/>
          <w:lang w:val="en-US" w:eastAsia="zh-CN"/>
        </w:rPr>
        <w:t>30.6</w:t>
      </w:r>
      <w:r>
        <w:rPr>
          <w:rFonts w:hint="eastAsia" w:ascii="仿宋_GB2312" w:eastAsia="仿宋_GB2312"/>
          <w:sz w:val="28"/>
          <w:szCs w:val="28"/>
        </w:rPr>
        <w:t>%，其中：基本支出</w:t>
      </w:r>
      <w:r>
        <w:rPr>
          <w:rFonts w:ascii="仿宋_GB2312" w:eastAsia="仿宋_GB2312"/>
          <w:sz w:val="28"/>
          <w:szCs w:val="28"/>
        </w:rPr>
        <w:t>802.3</w:t>
      </w:r>
      <w:r>
        <w:rPr>
          <w:rFonts w:hint="eastAsia" w:ascii="仿宋_GB2312" w:eastAsia="仿宋_GB2312"/>
          <w:sz w:val="28"/>
          <w:szCs w:val="28"/>
        </w:rPr>
        <w:t>万元，占支出合计的</w:t>
      </w:r>
      <w:r>
        <w:rPr>
          <w:rFonts w:hint="eastAsia" w:ascii="仿宋_GB2312" w:eastAsia="仿宋_GB2312"/>
          <w:sz w:val="28"/>
          <w:szCs w:val="28"/>
          <w:lang w:eastAsia="zh-CN"/>
        </w:rPr>
        <w:t>71.13</w:t>
      </w:r>
      <w:r>
        <w:rPr>
          <w:rFonts w:hint="eastAsia" w:ascii="仿宋_GB2312" w:eastAsia="仿宋_GB2312"/>
          <w:sz w:val="28"/>
          <w:szCs w:val="28"/>
        </w:rPr>
        <w:t>%；项目支出</w:t>
      </w:r>
      <w:r>
        <w:rPr>
          <w:rFonts w:ascii="仿宋_GB2312" w:eastAsia="仿宋_GB2312"/>
          <w:sz w:val="28"/>
          <w:szCs w:val="28"/>
        </w:rPr>
        <w:t>325.68</w:t>
      </w:r>
      <w:r>
        <w:rPr>
          <w:rFonts w:hint="eastAsia" w:ascii="仿宋_GB2312" w:eastAsia="仿宋_GB2312"/>
          <w:sz w:val="28"/>
          <w:szCs w:val="28"/>
        </w:rPr>
        <w:t>万元，占支出合计的</w:t>
      </w:r>
      <w:r>
        <w:rPr>
          <w:rFonts w:hint="eastAsia" w:ascii="仿宋_GB2312" w:eastAsia="仿宋_GB2312"/>
          <w:sz w:val="28"/>
          <w:szCs w:val="28"/>
          <w:lang w:eastAsia="zh-CN"/>
        </w:rPr>
        <w:t>28.87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1248.14</w:t>
      </w:r>
      <w:r>
        <w:rPr>
          <w:rFonts w:hint="eastAsia" w:ascii="仿宋_GB2312" w:eastAsia="仿宋_GB2312"/>
          <w:sz w:val="28"/>
          <w:szCs w:val="28"/>
        </w:rPr>
        <w:t>万元，比上年减少</w:t>
      </w:r>
      <w:r>
        <w:rPr>
          <w:rFonts w:hint="eastAsia" w:ascii="仿宋_GB2312" w:eastAsia="仿宋_GB2312"/>
          <w:sz w:val="28"/>
          <w:szCs w:val="28"/>
          <w:lang w:val="en-US" w:eastAsia="zh-CN"/>
        </w:rPr>
        <w:t>467.54</w:t>
      </w:r>
      <w:r>
        <w:rPr>
          <w:rFonts w:hint="eastAsia" w:ascii="仿宋_GB2312" w:eastAsia="仿宋_GB2312"/>
          <w:sz w:val="28"/>
          <w:szCs w:val="28"/>
        </w:rPr>
        <w:t>万元，下降</w:t>
      </w:r>
      <w:r>
        <w:rPr>
          <w:rFonts w:hint="eastAsia" w:ascii="仿宋_GB2312" w:eastAsia="仿宋_GB2312"/>
          <w:sz w:val="28"/>
          <w:szCs w:val="28"/>
          <w:lang w:val="en-US" w:eastAsia="zh-CN"/>
        </w:rPr>
        <w:t>27.25</w:t>
      </w:r>
      <w:r>
        <w:rPr>
          <w:rFonts w:hint="eastAsia" w:ascii="仿宋_GB2312" w:eastAsia="仿宋_GB2312"/>
          <w:sz w:val="28"/>
          <w:szCs w:val="28"/>
        </w:rPr>
        <w:t>%。主要原因：减少</w:t>
      </w:r>
      <w:r>
        <w:rPr>
          <w:rFonts w:hint="eastAsia" w:ascii="仿宋_GB2312" w:eastAsia="仿宋_GB2312"/>
          <w:sz w:val="28"/>
          <w:szCs w:val="28"/>
          <w:lang w:eastAsia="zh-CN"/>
        </w:rPr>
        <w:t>资源调查项目和上年度已完成基础设施安全改造一次性工作任务，本年度不再重复安排相关资金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1124.52</w:t>
      </w:r>
      <w:r>
        <w:rPr>
          <w:rFonts w:hint="eastAsia" w:ascii="仿宋_GB2312" w:eastAsia="仿宋_GB2312"/>
          <w:sz w:val="28"/>
          <w:szCs w:val="28"/>
        </w:rPr>
        <w:t>万元，主要用于以下方面（按大类）：教育支出0.37万元，占本年财政拨款支出0.03%；社会保障和就业支出78.74万元，占本年财政拨款支出7.00%；卫生建设支出46.98万元，占本年财政拨款支出4.18%；农林水支出998.4</w:t>
      </w:r>
      <w:r>
        <w:rPr>
          <w:rFonts w:hint="default" w:ascii="仿宋_GB2312" w:eastAsia="仿宋_GB2312"/>
          <w:sz w:val="28"/>
          <w:szCs w:val="28"/>
          <w:lang w:val="en"/>
        </w:rPr>
        <w:t>3</w:t>
      </w:r>
      <w:r>
        <w:rPr>
          <w:rFonts w:hint="eastAsia" w:ascii="仿宋_GB2312" w:eastAsia="仿宋_GB2312"/>
          <w:sz w:val="28"/>
          <w:szCs w:val="28"/>
        </w:rPr>
        <w:t>万元，占本年财政拨款支出88.</w:t>
      </w:r>
      <w:r>
        <w:rPr>
          <w:rFonts w:hint="eastAsia" w:ascii="仿宋_GB2312" w:eastAsia="仿宋_GB2312"/>
          <w:sz w:val="28"/>
          <w:szCs w:val="28"/>
          <w:lang w:val="en-US" w:eastAsia="zh-CN"/>
        </w:rPr>
        <w:t>79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w:t>
      </w:r>
      <w:r>
        <w:rPr>
          <w:rFonts w:hint="eastAsia" w:ascii="仿宋_GB2312" w:eastAsia="仿宋_GB2312"/>
          <w:sz w:val="28"/>
          <w:szCs w:val="28"/>
        </w:rPr>
        <w:t>万元，2024年度决算0.37万元，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21.76</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w:t>
      </w:r>
      <w:r>
        <w:rPr>
          <w:rFonts w:hint="eastAsia" w:ascii="仿宋_GB2312" w:eastAsia="仿宋_GB2312"/>
          <w:sz w:val="28"/>
          <w:szCs w:val="28"/>
        </w:rPr>
        <w:t>万元，2024年度决算0.37万元，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21.76</w:t>
      </w:r>
      <w:r>
        <w:rPr>
          <w:rFonts w:hint="eastAsia" w:ascii="仿宋_GB2312" w:eastAsia="仿宋_GB2312"/>
          <w:sz w:val="28"/>
          <w:szCs w:val="28"/>
        </w:rPr>
        <w:t>%。主要原因：</w:t>
      </w:r>
      <w:r>
        <w:rPr>
          <w:rFonts w:hint="eastAsia" w:ascii="仿宋_GB2312" w:eastAsia="仿宋_GB2312"/>
          <w:sz w:val="28"/>
          <w:szCs w:val="28"/>
          <w:lang w:eastAsia="zh-CN"/>
        </w:rPr>
        <w:t>落实政府过紧日子要求，厉行勤俭</w:t>
      </w:r>
      <w:r>
        <w:rPr>
          <w:rFonts w:hint="eastAsia" w:ascii="仿宋_GB2312" w:eastAsia="仿宋_GB2312"/>
          <w:sz w:val="28"/>
          <w:szCs w:val="28"/>
        </w:rPr>
        <w:t>节约压缩</w:t>
      </w:r>
      <w:r>
        <w:rPr>
          <w:rFonts w:hint="eastAsia" w:ascii="仿宋_GB2312" w:eastAsia="仿宋_GB2312"/>
          <w:sz w:val="28"/>
          <w:szCs w:val="28"/>
          <w:lang w:eastAsia="zh-CN"/>
        </w:rPr>
        <w:t>培</w:t>
      </w:r>
      <w:r>
        <w:rPr>
          <w:rFonts w:hint="eastAsia" w:ascii="仿宋_GB2312" w:eastAsia="仿宋_GB2312"/>
          <w:sz w:val="28"/>
          <w:szCs w:val="28"/>
        </w:rPr>
        <w:t>训</w:t>
      </w:r>
      <w:r>
        <w:rPr>
          <w:rFonts w:hint="eastAsia" w:ascii="仿宋_GB2312" w:eastAsia="仿宋_GB2312"/>
          <w:sz w:val="28"/>
          <w:szCs w:val="28"/>
          <w:lang w:eastAsia="zh-CN"/>
        </w:rPr>
        <w:t>成本</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84.03</w:t>
      </w:r>
      <w:r>
        <w:rPr>
          <w:rFonts w:hint="eastAsia" w:ascii="仿宋_GB2312" w:eastAsia="仿宋_GB2312"/>
          <w:sz w:val="28"/>
          <w:szCs w:val="28"/>
        </w:rPr>
        <w:t>万元，2024年度决算</w:t>
      </w:r>
      <w:r>
        <w:rPr>
          <w:rFonts w:hint="eastAsia" w:ascii="仿宋_GB2312" w:eastAsia="仿宋_GB2312"/>
          <w:sz w:val="28"/>
          <w:szCs w:val="28"/>
          <w:lang w:val="en-US" w:eastAsia="zh-CN"/>
        </w:rPr>
        <w:t>78.74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93.70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84.03</w:t>
      </w:r>
      <w:r>
        <w:rPr>
          <w:rFonts w:hint="eastAsia" w:ascii="仿宋_GB2312" w:eastAsia="仿宋_GB2312"/>
          <w:sz w:val="28"/>
          <w:szCs w:val="28"/>
        </w:rPr>
        <w:t>万元，2024年度决算</w:t>
      </w:r>
      <w:r>
        <w:rPr>
          <w:rFonts w:hint="eastAsia" w:ascii="仿宋_GB2312" w:eastAsia="仿宋_GB2312"/>
          <w:sz w:val="28"/>
          <w:szCs w:val="28"/>
          <w:lang w:val="en-US" w:eastAsia="zh-CN"/>
        </w:rPr>
        <w:t>78.74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93.70</w:t>
      </w:r>
      <w:r>
        <w:rPr>
          <w:rFonts w:hint="eastAsia" w:ascii="仿宋_GB2312" w:eastAsia="仿宋_GB2312"/>
          <w:sz w:val="28"/>
          <w:szCs w:val="28"/>
        </w:rPr>
        <w:t>%。主要原因：人员减少</w:t>
      </w:r>
      <w:r>
        <w:rPr>
          <w:rFonts w:hint="eastAsia" w:ascii="仿宋_GB2312" w:eastAsia="仿宋_GB2312"/>
          <w:sz w:val="28"/>
          <w:szCs w:val="28"/>
          <w:lang w:eastAsia="zh-CN"/>
        </w:rPr>
        <w:t>，按照实际缴纳情况缴纳职工养老保险和职业年金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50.23</w:t>
      </w:r>
      <w:r>
        <w:rPr>
          <w:rFonts w:hint="eastAsia" w:ascii="仿宋_GB2312" w:eastAsia="仿宋_GB2312"/>
          <w:sz w:val="28"/>
          <w:szCs w:val="28"/>
        </w:rPr>
        <w:t>万元，2024年度决算</w:t>
      </w:r>
      <w:r>
        <w:rPr>
          <w:rFonts w:hint="eastAsia" w:ascii="仿宋_GB2312" w:eastAsia="仿宋_GB2312"/>
          <w:sz w:val="28"/>
          <w:szCs w:val="28"/>
          <w:lang w:val="en-US" w:eastAsia="zh-CN"/>
        </w:rPr>
        <w:t>46.98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93.53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50.23</w:t>
      </w:r>
      <w:r>
        <w:rPr>
          <w:rFonts w:hint="eastAsia" w:ascii="仿宋_GB2312" w:eastAsia="仿宋_GB2312"/>
          <w:sz w:val="28"/>
          <w:szCs w:val="28"/>
        </w:rPr>
        <w:t>万元，2024年度决算</w:t>
      </w:r>
      <w:r>
        <w:rPr>
          <w:rFonts w:hint="eastAsia" w:ascii="仿宋_GB2312" w:eastAsia="仿宋_GB2312"/>
          <w:sz w:val="28"/>
          <w:szCs w:val="28"/>
          <w:lang w:val="en-US" w:eastAsia="zh-CN"/>
        </w:rPr>
        <w:t>46.98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93.53</w:t>
      </w:r>
      <w:r>
        <w:rPr>
          <w:rFonts w:hint="eastAsia" w:ascii="仿宋_GB2312" w:eastAsia="仿宋_GB2312"/>
          <w:sz w:val="28"/>
          <w:szCs w:val="28"/>
        </w:rPr>
        <w:t>%。主要原因：人员减少</w:t>
      </w:r>
      <w:r>
        <w:rPr>
          <w:rFonts w:hint="eastAsia" w:ascii="仿宋_GB2312" w:eastAsia="仿宋_GB2312"/>
          <w:sz w:val="28"/>
          <w:szCs w:val="28"/>
          <w:lang w:eastAsia="zh-CN"/>
        </w:rPr>
        <w:t>，按照实际缴纳情况缴纳职工医疗保险</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4、“农林水支出”202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1112.18</w:t>
      </w:r>
      <w:r>
        <w:rPr>
          <w:rFonts w:hint="eastAsia" w:ascii="仿宋_GB2312" w:eastAsia="仿宋_GB2312"/>
          <w:sz w:val="28"/>
          <w:szCs w:val="28"/>
        </w:rPr>
        <w:t>万元，2024年度决算</w:t>
      </w:r>
      <w:r>
        <w:rPr>
          <w:rFonts w:hint="eastAsia" w:ascii="仿宋_GB2312" w:eastAsia="仿宋_GB2312"/>
          <w:sz w:val="28"/>
          <w:szCs w:val="28"/>
          <w:lang w:val="en-US" w:eastAsia="zh-CN"/>
        </w:rPr>
        <w:t>998.43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89.77</w:t>
      </w:r>
      <w:r>
        <w:rPr>
          <w:rFonts w:hint="eastAsia" w:ascii="仿宋_GB2312" w:eastAsia="仿宋_GB2312"/>
          <w:sz w:val="28"/>
          <w:szCs w:val="28"/>
        </w:rPr>
        <w:t>%。其中：</w:t>
      </w:r>
    </w:p>
    <w:p>
      <w:pPr>
        <w:spacing w:line="580" w:lineRule="exact"/>
        <w:ind w:firstLine="560" w:firstLineChars="200"/>
      </w:pPr>
      <w:r>
        <w:rPr>
          <w:rFonts w:hint="eastAsia" w:ascii="仿宋_GB2312" w:eastAsia="仿宋_GB2312"/>
          <w:sz w:val="28"/>
          <w:szCs w:val="28"/>
        </w:rPr>
        <w:t>“农业农村”202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1112.18</w:t>
      </w:r>
      <w:r>
        <w:rPr>
          <w:rFonts w:hint="eastAsia" w:ascii="仿宋_GB2312" w:eastAsia="仿宋_GB2312"/>
          <w:sz w:val="28"/>
          <w:szCs w:val="28"/>
        </w:rPr>
        <w:t>万元，2024年度决算</w:t>
      </w:r>
      <w:r>
        <w:rPr>
          <w:rFonts w:hint="eastAsia" w:ascii="仿宋_GB2312" w:eastAsia="仿宋_GB2312"/>
          <w:sz w:val="28"/>
          <w:szCs w:val="28"/>
          <w:lang w:val="en-US" w:eastAsia="zh-CN"/>
        </w:rPr>
        <w:t>998.43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89.77</w:t>
      </w:r>
      <w:r>
        <w:rPr>
          <w:rFonts w:hint="eastAsia" w:ascii="仿宋_GB2312" w:eastAsia="仿宋_GB2312"/>
          <w:sz w:val="28"/>
          <w:szCs w:val="28"/>
        </w:rPr>
        <w:t>%。主要原因：</w:t>
      </w:r>
      <w:r>
        <w:rPr>
          <w:rFonts w:hint="eastAsia" w:ascii="仿宋_GB2312" w:eastAsia="仿宋_GB2312"/>
          <w:sz w:val="28"/>
          <w:szCs w:val="28"/>
          <w:lang w:eastAsia="zh-CN"/>
        </w:rPr>
        <w:t>落实政府过紧日子要求，</w:t>
      </w:r>
      <w:r>
        <w:rPr>
          <w:rFonts w:hint="eastAsia" w:ascii="仿宋_GB2312" w:eastAsia="仿宋_GB2312"/>
          <w:sz w:val="28"/>
          <w:szCs w:val="28"/>
        </w:rPr>
        <w:t>压</w:t>
      </w:r>
      <w:r>
        <w:rPr>
          <w:rFonts w:hint="eastAsia" w:ascii="仿宋_GB2312" w:eastAsia="仿宋_GB2312"/>
          <w:sz w:val="28"/>
          <w:szCs w:val="28"/>
          <w:lang w:eastAsia="zh-CN"/>
        </w:rPr>
        <w:t>减和严控</w:t>
      </w:r>
      <w:r>
        <w:rPr>
          <w:rFonts w:hint="eastAsia" w:ascii="仿宋_GB2312" w:eastAsia="仿宋_GB2312"/>
          <w:sz w:val="28"/>
          <w:szCs w:val="28"/>
        </w:rPr>
        <w:t>一般</w:t>
      </w:r>
      <w:r>
        <w:rPr>
          <w:rFonts w:hint="eastAsia" w:ascii="仿宋_GB2312" w:eastAsia="仿宋_GB2312"/>
          <w:sz w:val="28"/>
          <w:szCs w:val="28"/>
          <w:lang w:eastAsia="zh-CN"/>
        </w:rPr>
        <w:t>性</w:t>
      </w:r>
      <w:r>
        <w:rPr>
          <w:rFonts w:hint="eastAsia" w:ascii="仿宋_GB2312" w:eastAsia="仿宋_GB2312"/>
          <w:sz w:val="28"/>
          <w:szCs w:val="28"/>
        </w:rPr>
        <w:t>支出。</w:t>
      </w:r>
    </w:p>
    <w:p>
      <w:pPr>
        <w:spacing w:line="580" w:lineRule="exact"/>
        <w:ind w:firstLine="560" w:firstLineChars="200"/>
        <w:rPr>
          <w:rFonts w:hint="eastAsia" w:ascii="黑体" w:eastAsia="黑体"/>
          <w:b/>
          <w:sz w:val="28"/>
          <w:szCs w:val="28"/>
        </w:rPr>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default" w:ascii="仿宋_GB2312" w:eastAsia="仿宋_GB2312"/>
          <w:sz w:val="28"/>
          <w:szCs w:val="28"/>
          <w:lang w:val="en" w:eastAsia="zh-CN"/>
        </w:rPr>
      </w:pPr>
      <w:r>
        <w:rPr>
          <w:rFonts w:hint="eastAsia" w:ascii="仿宋_GB2312" w:eastAsia="仿宋_GB2312"/>
          <w:sz w:val="28"/>
          <w:szCs w:val="28"/>
          <w:lang w:eastAsia="zh-CN"/>
        </w:rPr>
        <w:t>本单位无此项支出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autoSpaceDE w:val="0"/>
        <w:autoSpaceDN w:val="0"/>
        <w:adjustRightInd w:val="0"/>
        <w:spacing w:line="580" w:lineRule="exact"/>
        <w:ind w:firstLine="560" w:firstLineChars="200"/>
        <w:jc w:val="left"/>
        <w:rPr>
          <w:rFonts w:hint="default" w:ascii="仿宋_GB2312" w:eastAsia="仿宋_GB2312"/>
          <w:sz w:val="28"/>
          <w:szCs w:val="28"/>
          <w:lang w:val="en" w:eastAsia="zh-CN"/>
        </w:rPr>
      </w:pPr>
      <w:r>
        <w:rPr>
          <w:rFonts w:hint="eastAsia" w:ascii="仿宋_GB2312" w:eastAsia="仿宋_GB2312"/>
          <w:sz w:val="28"/>
          <w:szCs w:val="28"/>
          <w:lang w:eastAsia="zh-CN"/>
        </w:rPr>
        <w:t>本单位无此项支出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802.29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ind w:firstLine="3600" w:firstLineChars="900"/>
        <w:jc w:val="both"/>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3.91</w:t>
      </w:r>
      <w:r>
        <w:rPr>
          <w:rFonts w:hint="eastAsia" w:ascii="仿宋_GB2312" w:eastAsia="仿宋_GB2312"/>
          <w:sz w:val="28"/>
          <w:szCs w:val="28"/>
        </w:rPr>
        <w:t>万元，比2024年度“三公”经费财政拨款年初预算</w:t>
      </w:r>
      <w:r>
        <w:rPr>
          <w:rFonts w:ascii="仿宋_GB2312" w:eastAsia="仿宋_GB2312"/>
          <w:sz w:val="28"/>
          <w:szCs w:val="28"/>
        </w:rPr>
        <w:t>4.2</w:t>
      </w:r>
      <w:r>
        <w:rPr>
          <w:rFonts w:hint="eastAsia" w:ascii="仿宋_GB2312" w:eastAsia="仿宋_GB2312"/>
          <w:sz w:val="28"/>
          <w:szCs w:val="28"/>
        </w:rPr>
        <w:t>万元减少</w:t>
      </w:r>
      <w:r>
        <w:rPr>
          <w:rFonts w:ascii="仿宋_GB2312" w:eastAsia="仿宋_GB2312"/>
          <w:sz w:val="28"/>
          <w:szCs w:val="28"/>
        </w:rPr>
        <w:t>0.29</w:t>
      </w:r>
      <w:r>
        <w:rPr>
          <w:rFonts w:hint="eastAsia" w:ascii="仿宋_GB2312" w:eastAsia="仿宋_GB2312"/>
          <w:sz w:val="28"/>
          <w:szCs w:val="28"/>
        </w:rPr>
        <w:t>万元。其中：</w:t>
      </w:r>
    </w:p>
    <w:p>
      <w:pPr>
        <w:pStyle w:val="20"/>
        <w:numPr>
          <w:ilvl w:val="0"/>
          <w:numId w:val="1"/>
        </w:numPr>
        <w:spacing w:line="560" w:lineRule="exact"/>
        <w:ind w:firstLineChars="0"/>
        <w:rPr>
          <w:rFonts w:hint="eastAsia" w:ascii="仿宋_GB2312" w:eastAsia="仿宋_GB2312"/>
          <w:sz w:val="28"/>
          <w:szCs w:val="28"/>
        </w:rPr>
      </w:pPr>
      <w:r>
        <w:rPr>
          <w:rFonts w:hint="eastAsia" w:ascii="仿宋_GB2312" w:eastAsia="仿宋_GB2312"/>
          <w:sz w:val="28"/>
          <w:szCs w:val="28"/>
        </w:rPr>
        <w:t>因公出国（境）费用。</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0.2</w:t>
      </w:r>
      <w:r>
        <w:rPr>
          <w:rFonts w:hint="eastAsia" w:ascii="仿宋_GB2312" w:eastAsia="仿宋_GB2312"/>
          <w:sz w:val="28"/>
          <w:szCs w:val="28"/>
        </w:rPr>
        <w:t>万元减少</w:t>
      </w:r>
      <w:r>
        <w:rPr>
          <w:rFonts w:ascii="仿宋_GB2312" w:eastAsia="仿宋_GB2312"/>
          <w:sz w:val="28"/>
          <w:szCs w:val="28"/>
        </w:rPr>
        <w:t>0.2</w:t>
      </w:r>
      <w:r>
        <w:rPr>
          <w:rFonts w:hint="eastAsia" w:ascii="仿宋_GB2312" w:eastAsia="仿宋_GB2312"/>
          <w:sz w:val="28"/>
          <w:szCs w:val="28"/>
        </w:rPr>
        <w:t>万元。主要原因：厉行节约严控公务接待费。公务接待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3.91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4</w:t>
      </w:r>
      <w:r>
        <w:rPr>
          <w:rFonts w:hint="eastAsia" w:ascii="仿宋_GB2312" w:eastAsia="仿宋_GB2312"/>
          <w:sz w:val="28"/>
          <w:szCs w:val="28"/>
        </w:rPr>
        <w:t>万元</w:t>
      </w:r>
      <w:r>
        <w:rPr>
          <w:rFonts w:hint="eastAsia" w:ascii="仿宋_GB2312" w:eastAsia="仿宋_GB2312"/>
          <w:sz w:val="28"/>
          <w:szCs w:val="28"/>
          <w:lang w:eastAsia="zh-CN"/>
        </w:rPr>
        <w:t>减少</w:t>
      </w:r>
      <w:r>
        <w:rPr>
          <w:rFonts w:hint="default" w:ascii="仿宋_GB2312" w:eastAsia="仿宋_GB2312"/>
          <w:sz w:val="28"/>
          <w:szCs w:val="28"/>
          <w:lang w:val="en"/>
        </w:rPr>
        <w:t>0</w:t>
      </w:r>
      <w:r>
        <w:rPr>
          <w:rFonts w:ascii="仿宋_GB2312" w:eastAsia="仿宋_GB2312"/>
          <w:sz w:val="28"/>
          <w:szCs w:val="28"/>
        </w:rPr>
        <w:t>.09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：本单位无此</w:t>
      </w:r>
      <w:bookmarkStart w:id="0" w:name="_GoBack"/>
      <w:bookmarkEnd w:id="0"/>
      <w:r>
        <w:rPr>
          <w:rFonts w:hint="eastAsia" w:ascii="仿宋_GB2312" w:eastAsia="仿宋_GB2312"/>
          <w:sz w:val="28"/>
          <w:szCs w:val="28"/>
          <w:lang w:eastAsia="zh-CN"/>
        </w:rPr>
        <w:t>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3.91</w:t>
      </w:r>
      <w:r>
        <w:rPr>
          <w:rFonts w:hint="eastAsia" w:ascii="仿宋_GB2312" w:eastAsia="仿宋_GB2312"/>
          <w:sz w:val="28"/>
          <w:szCs w:val="28"/>
        </w:rPr>
        <w:t>万元，主要原因</w:t>
      </w:r>
      <w:r>
        <w:rPr>
          <w:rFonts w:hint="eastAsia" w:ascii="仿宋_GB2312" w:eastAsia="仿宋_GB2312"/>
          <w:sz w:val="28"/>
          <w:szCs w:val="28"/>
          <w:lang w:eastAsia="zh-CN"/>
        </w:rPr>
        <w:t>：</w:t>
      </w:r>
      <w:r>
        <w:rPr>
          <w:rFonts w:hint="eastAsia" w:ascii="仿宋_GB2312" w:eastAsia="仿宋_GB2312"/>
          <w:sz w:val="28"/>
          <w:szCs w:val="28"/>
        </w:rPr>
        <w:t>厉行节约严控公务车运行维护费。202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w:t>
      </w:r>
      <w:r>
        <w:rPr>
          <w:rFonts w:hint="eastAsia" w:ascii="仿宋_GB2312" w:eastAsia="仿宋_GB2312"/>
          <w:sz w:val="28"/>
          <w:szCs w:val="28"/>
        </w:rPr>
        <w:t>辆。</w:t>
      </w:r>
    </w:p>
    <w:p>
      <w:pPr>
        <w:tabs>
          <w:tab w:val="left" w:pos="490"/>
        </w:tabs>
        <w:ind w:firstLine="560" w:firstLineChars="200"/>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lang w:eastAsia="zh-CN"/>
        </w:rPr>
      </w:pPr>
      <w:r>
        <w:rPr>
          <w:rFonts w:hint="eastAsia" w:ascii="仿宋_GB2312" w:eastAsia="仿宋_GB2312"/>
          <w:sz w:val="28"/>
          <w:szCs w:val="28"/>
          <w:lang w:eastAsia="zh-CN"/>
        </w:rPr>
        <w:t>我单位不在机关运行经费统计范围内。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94.34</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94.34</w:t>
      </w:r>
      <w:r>
        <w:rPr>
          <w:rFonts w:hint="eastAsia" w:ascii="仿宋_GB2312" w:eastAsia="仿宋_GB2312"/>
          <w:sz w:val="28"/>
          <w:szCs w:val="28"/>
        </w:rPr>
        <w:t>万元。授予中小企业合同金额</w:t>
      </w:r>
      <w:r>
        <w:rPr>
          <w:rFonts w:ascii="仿宋_GB2312" w:eastAsia="仿宋_GB2312"/>
          <w:sz w:val="28"/>
          <w:szCs w:val="28"/>
        </w:rPr>
        <w:t>94.34</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94.34</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12月31日，北京市水生野生动植物救护中心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tabs>
          <w:tab w:val="left" w:pos="12280"/>
        </w:tabs>
        <w:ind w:firstLine="537" w:firstLineChars="192"/>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r>
        <w:rPr>
          <w:rFonts w:hint="eastAsia" w:ascii="仿宋_GB2312" w:eastAsia="仿宋_GB2312"/>
          <w:sz w:val="28"/>
          <w:szCs w:val="28"/>
          <w:lang w:eastAsia="zh-CN"/>
        </w:rPr>
        <w:tab/>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3"/>
        <w:ind w:firstLine="478" w:firstLineChars="171"/>
        <w:rPr>
          <w:rFonts w:hint="eastAsia" w:ascii="仿宋_GB2312" w:eastAsia="仿宋_GB2312"/>
          <w:sz w:val="28"/>
          <w:szCs w:val="28"/>
        </w:rPr>
      </w:pPr>
      <w:r>
        <w:rPr>
          <w:rFonts w:hint="eastAsia" w:ascii="仿宋_GB2312" w:eastAsia="仿宋_GB2312"/>
          <w:sz w:val="28"/>
          <w:szCs w:val="28"/>
        </w:rPr>
        <w:t>7.教育支出（类）进修及培训支出（项）：反映各部门安排的用于培训的支出。</w:t>
      </w:r>
    </w:p>
    <w:p>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8.社会保障和就业支出（类）行政事业单位养老支出（款）机关事业单位基本养老保险缴费支出（项）：反映事业单位基本养老保险缴费的支出。</w:t>
      </w:r>
    </w:p>
    <w:p>
      <w:pPr>
        <w:ind w:firstLine="420" w:firstLineChars="150"/>
        <w:rPr>
          <w:rFonts w:hint="eastAsia" w:ascii="仿宋_GB2312" w:eastAsia="仿宋_GB2312"/>
          <w:sz w:val="28"/>
          <w:szCs w:val="28"/>
        </w:rPr>
      </w:pPr>
      <w:r>
        <w:rPr>
          <w:rFonts w:hint="eastAsia" w:ascii="仿宋_GB2312" w:eastAsia="仿宋_GB2312"/>
          <w:sz w:val="28"/>
          <w:szCs w:val="28"/>
        </w:rPr>
        <w:t>9. 社会保障和就业支出（类）行政事业单位养老支出（款）机关事业单位职业年金缴费支出（项）：反映事业单位职业年金缴费的支出。</w:t>
      </w:r>
    </w:p>
    <w:p>
      <w:pPr>
        <w:ind w:firstLine="280" w:firstLineChars="100"/>
        <w:rPr>
          <w:rFonts w:hint="eastAsia" w:ascii="仿宋_GB2312" w:eastAsia="仿宋_GB2312"/>
          <w:sz w:val="28"/>
          <w:szCs w:val="28"/>
        </w:rPr>
      </w:pPr>
      <w:r>
        <w:rPr>
          <w:rFonts w:hint="eastAsia" w:ascii="仿宋_GB2312" w:eastAsia="仿宋_GB2312"/>
          <w:sz w:val="28"/>
          <w:szCs w:val="28"/>
        </w:rPr>
        <w:t>10.卫生健康（类）行政事业单位医疗（款）事业单位医疗(项)：反映事业单位医疗保险费用的支出。</w:t>
      </w:r>
    </w:p>
    <w:p>
      <w:pPr>
        <w:pStyle w:val="3"/>
        <w:ind w:left="281" w:leftChars="134" w:firstLine="58" w:firstLineChars="21"/>
        <w:rPr>
          <w:rFonts w:hint="eastAsia" w:ascii="仿宋_GB2312" w:eastAsia="仿宋_GB2312"/>
          <w:sz w:val="28"/>
          <w:szCs w:val="28"/>
        </w:rPr>
      </w:pPr>
      <w:r>
        <w:rPr>
          <w:rFonts w:hint="eastAsia" w:ascii="仿宋_GB2312" w:eastAsia="仿宋_GB2312"/>
          <w:sz w:val="28"/>
          <w:szCs w:val="28"/>
        </w:rPr>
        <w:t>11.农林水支出（类）农业农村（款）事业运行（项）：反映用于农业事业单位基本支出，事业单位设施、系统运行于资产维护等方面的支出。</w:t>
      </w:r>
    </w:p>
    <w:p>
      <w:pPr>
        <w:pStyle w:val="3"/>
        <w:ind w:left="281" w:leftChars="134" w:firstLine="58" w:firstLineChars="21"/>
        <w:rPr>
          <w:rFonts w:hint="eastAsia" w:ascii="仿宋_GB2312" w:eastAsia="仿宋_GB2312"/>
          <w:sz w:val="28"/>
          <w:szCs w:val="28"/>
        </w:rPr>
      </w:pPr>
      <w:r>
        <w:rPr>
          <w:rFonts w:hint="eastAsia" w:ascii="仿宋_GB2312" w:eastAsia="仿宋_GB2312"/>
          <w:sz w:val="28"/>
          <w:szCs w:val="28"/>
        </w:rPr>
        <w:t>12. .农林水支出（类）农业农村（款）农业资源保护修复与利用（项）：反映用于渔业水域资源环境保护等方面的支出。</w:t>
      </w:r>
    </w:p>
    <w:p>
      <w:pPr>
        <w:ind w:firstLine="4160" w:firstLineChars="1300"/>
        <w:jc w:val="both"/>
        <w:rPr>
          <w:rFonts w:hint="eastAsia" w:ascii="黑体" w:eastAsia="黑体"/>
          <w:sz w:val="32"/>
          <w:szCs w:val="32"/>
        </w:rPr>
      </w:pPr>
    </w:p>
    <w:p>
      <w:pPr>
        <w:ind w:firstLine="4160" w:firstLineChars="1300"/>
        <w:jc w:val="both"/>
        <w:rPr>
          <w:rFonts w:hint="eastAsia" w:ascii="黑体" w:eastAsia="黑体"/>
          <w:sz w:val="32"/>
          <w:szCs w:val="32"/>
        </w:rPr>
      </w:pPr>
    </w:p>
    <w:p>
      <w:pPr>
        <w:ind w:firstLine="4160" w:firstLineChars="1300"/>
        <w:jc w:val="both"/>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840" w:firstLineChars="3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Droid Sans">
    <w:altName w:val="Noto Serif CJK JP"/>
    <w:panose1 w:val="00000000000000000000"/>
    <w:charset w:val="00"/>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035F9"/>
    <w:multiLevelType w:val="multilevel"/>
    <w:tmpl w:val="528035F9"/>
    <w:lvl w:ilvl="0" w:tentative="0">
      <w:start w:val="1"/>
      <w:numFmt w:val="decimal"/>
      <w:lvlText w:val="%1."/>
      <w:lvlJc w:val="left"/>
      <w:pPr>
        <w:ind w:left="960" w:hanging="36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D531592"/>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FF2ADD3"/>
    <w:rsid w:val="60A54109"/>
    <w:rsid w:val="61D01CDF"/>
    <w:rsid w:val="64C0607C"/>
    <w:rsid w:val="65756C86"/>
    <w:rsid w:val="674D385B"/>
    <w:rsid w:val="676F09E1"/>
    <w:rsid w:val="67BBD5FF"/>
    <w:rsid w:val="71793A80"/>
    <w:rsid w:val="7357290B"/>
    <w:rsid w:val="73B8AF45"/>
    <w:rsid w:val="798524E4"/>
    <w:rsid w:val="7A7F1C49"/>
    <w:rsid w:val="7AF540E0"/>
    <w:rsid w:val="7B5B7AE6"/>
    <w:rsid w:val="7B7B6628"/>
    <w:rsid w:val="7BA7071E"/>
    <w:rsid w:val="7BDF6DA8"/>
    <w:rsid w:val="7C7EDC1A"/>
    <w:rsid w:val="7CCED98D"/>
    <w:rsid w:val="7D08410F"/>
    <w:rsid w:val="7DB96DED"/>
    <w:rsid w:val="7DD3AD81"/>
    <w:rsid w:val="7DFF9160"/>
    <w:rsid w:val="7F7FE70F"/>
    <w:rsid w:val="7FBF5EDC"/>
    <w:rsid w:val="7FF3D94A"/>
    <w:rsid w:val="7FFF2904"/>
    <w:rsid w:val="7FFF772F"/>
    <w:rsid w:val="95F35EF6"/>
    <w:rsid w:val="9BFFD860"/>
    <w:rsid w:val="AC5F73DE"/>
    <w:rsid w:val="B5DDD2C8"/>
    <w:rsid w:val="B9DFABD9"/>
    <w:rsid w:val="B9FFB8C3"/>
    <w:rsid w:val="BB4B9CFD"/>
    <w:rsid w:val="BC0D83FC"/>
    <w:rsid w:val="BDFD748F"/>
    <w:rsid w:val="BF3BDEFB"/>
    <w:rsid w:val="BFFEE304"/>
    <w:rsid w:val="C75F6086"/>
    <w:rsid w:val="C7F7ED2D"/>
    <w:rsid w:val="CFAF854E"/>
    <w:rsid w:val="D8D7928E"/>
    <w:rsid w:val="D8FE3136"/>
    <w:rsid w:val="DDDE60B7"/>
    <w:rsid w:val="DE9F6A22"/>
    <w:rsid w:val="DF4FCE6A"/>
    <w:rsid w:val="E4FED278"/>
    <w:rsid w:val="E7FE1B0C"/>
    <w:rsid w:val="EDAA365C"/>
    <w:rsid w:val="EDADFC12"/>
    <w:rsid w:val="F1B97AD8"/>
    <w:rsid w:val="F2FD229B"/>
    <w:rsid w:val="F7F709E9"/>
    <w:rsid w:val="F7FF3690"/>
    <w:rsid w:val="F7FFFE71"/>
    <w:rsid w:val="F9BD3900"/>
    <w:rsid w:val="FA1FC88B"/>
    <w:rsid w:val="FC8B9876"/>
    <w:rsid w:val="FE77A955"/>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data/home/nyncj/&#27169;&#26495;/&#26032;&#24314;Excel&#25991;&#26723;.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data/home/nyncj/&#27169;&#26495;/&#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false"/>
      <c:spPr>
        <a:noFill/>
        <a:ln>
          <a:noFill/>
        </a:ln>
        <a:effectLst/>
      </c:spPr>
    </c:title>
    <c:autoTitleDeleted val="false"/>
    <c:plotArea>
      <c:layout/>
      <c:pieChart>
        <c:varyColors val="true"/>
        <c:ser>
          <c:idx val="0"/>
          <c:order val="0"/>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Lbls>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false"/>
            <c:showCatName val="false"/>
            <c:showSerName val="false"/>
            <c:showPercent val="true"/>
            <c:showBubbleSize val="false"/>
            <c:showLeaderLines val="false"/>
            <c:extLst>
              <c:ext xmlns:c15="http://schemas.microsoft.com/office/drawing/2012/chart" uri="{CE6537A1-D6FC-4f65-9D91-7224C49458BB}">
                <c15:layout/>
                <c15:showLeaderLines val="false"/>
                <c15:leaderLines>
                  <c:spPr>
                    <a:ln w="9525" cap="flat" cmpd="sng" algn="ctr">
                      <a:solidFill>
                        <a:schemeClr val="tx1">
                          <a:lumMod val="35000"/>
                          <a:lumOff val="65000"/>
                        </a:schemeClr>
                      </a:solidFill>
                      <a:round/>
                    </a:ln>
                    <a:effectLst/>
                  </c:spPr>
                </c15:leaderLines>
              </c:ext>
            </c:extLst>
          </c:dLbls>
          <c:cat>
            <c:strRef>
              <c:f>[新建Excel文档.xls]Sheet1!$A$29:$A$30</c:f>
              <c:strCache>
                <c:ptCount val="2"/>
                <c:pt idx="0">
                  <c:v>财政拨款收入</c:v>
                </c:pt>
                <c:pt idx="1">
                  <c:v>其他收入</c:v>
                </c:pt>
              </c:strCache>
            </c:strRef>
          </c:cat>
          <c:val>
            <c:numRef>
              <c:f>[新建Excel文档.xls]Sheet1!$B$29:$B$30</c:f>
              <c:numCache>
                <c:formatCode>General</c:formatCode>
                <c:ptCount val="2"/>
                <c:pt idx="0">
                  <c:v>1248.14</c:v>
                </c:pt>
                <c:pt idx="1">
                  <c:v>3.32</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r"/>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false"/>
      <c:spPr>
        <a:noFill/>
        <a:ln>
          <a:noFill/>
        </a:ln>
        <a:effectLst/>
      </c:spPr>
    </c:title>
    <c:autoTitleDeleted val="false"/>
    <c:plotArea>
      <c:layout/>
      <c:pieChart>
        <c:varyColors val="true"/>
        <c:ser>
          <c:idx val="0"/>
          <c:order val="0"/>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Lbls>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false"/>
            <c:showCatName val="false"/>
            <c:showSerName val="false"/>
            <c:showPercent val="true"/>
            <c:showBubbleSize val="false"/>
            <c:showLeaderLines val="false"/>
            <c:extLst>
              <c:ext xmlns:c15="http://schemas.microsoft.com/office/drawing/2012/chart" uri="{CE6537A1-D6FC-4f65-9D91-7224C49458BB}">
                <c15:layout/>
                <c15:showLeaderLines val="false"/>
                <c15:leaderLines>
                  <c:spPr>
                    <a:ln w="9525" cap="flat" cmpd="sng" algn="ctr">
                      <a:solidFill>
                        <a:schemeClr val="tx1">
                          <a:lumMod val="35000"/>
                          <a:lumOff val="65000"/>
                        </a:schemeClr>
                      </a:solidFill>
                      <a:round/>
                    </a:ln>
                    <a:effectLst/>
                  </c:spPr>
                </c15:leaderLines>
              </c:ext>
            </c:extLst>
          </c:dLbls>
          <c:cat>
            <c:strRef>
              <c:f>[新建Excel文档.xls]Sheet1!$A$1:$A$2</c:f>
              <c:strCache>
                <c:ptCount val="2"/>
                <c:pt idx="0">
                  <c:v>基本支出</c:v>
                </c:pt>
                <c:pt idx="1">
                  <c:v>项目支出</c:v>
                </c:pt>
              </c:strCache>
            </c:strRef>
          </c:cat>
          <c:val>
            <c:numRef>
              <c:f>[新建Excel文档.xls]Sheet1!$B$1:$B$2</c:f>
              <c:numCache>
                <c:formatCode>General</c:formatCode>
                <c:ptCount val="2"/>
                <c:pt idx="0">
                  <c:v>802.3</c:v>
                </c:pt>
                <c:pt idx="1">
                  <c:v>325.68</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r"/>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7</TotalTime>
  <ScaleCrop>false</ScaleCrop>
  <LinksUpToDate>false</LinksUpToDate>
  <CharactersWithSpaces>5802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2017-07-16T07:16:00Z</dcterms:created>
  <dc:creator>常程</dc:creator>
  <cp:lastModifiedBy>nyncj</cp:lastModifiedBy>
  <cp:lastPrinted>2025-09-07T17:56:00Z</cp:lastPrinted>
  <dcterms:modified xsi:type="dcterms:W3CDTF">2025-09-08T08:59:21Z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