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bookmarkStart w:id="0" w:name="_GoBack"/>
      <w:bookmarkEnd w:id="0"/>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ascii="仿宋_GB2312" w:eastAsia="仿宋_GB2312"/>
          <w:sz w:val="28"/>
          <w:szCs w:val="28"/>
        </w:rPr>
      </w:pPr>
      <w:r>
        <w:rPr>
          <w:rFonts w:hint="eastAsia" w:ascii="仿宋_GB2312" w:hAnsi="仿宋" w:eastAsia="仿宋_GB2312"/>
          <w:sz w:val="28"/>
          <w:szCs w:val="28"/>
          <w:highlight w:val="none"/>
        </w:rPr>
        <w:t>根据中共中央、国务院批准的北京市人民政府机构改革方案和《北京市人民政府关于机构设置的通知》（京政发[2009]2号），北京市兽药饲料监测中心内设机构6个科室，包括办公室、综合科、质量管理科、业务管理科、兽药检测科和饲料检测科。单位</w:t>
      </w:r>
      <w:r>
        <w:rPr>
          <w:rFonts w:hint="eastAsia" w:ascii="仿宋_GB2312" w:hAnsi="仿宋" w:eastAsia="仿宋_GB2312"/>
          <w:sz w:val="28"/>
          <w:szCs w:val="28"/>
          <w:highlight w:val="none"/>
          <w:lang w:eastAsia="zh-CN"/>
        </w:rPr>
        <w:t>主要</w:t>
      </w:r>
      <w:r>
        <w:rPr>
          <w:rFonts w:hint="eastAsia" w:ascii="仿宋_GB2312" w:hAnsi="仿宋" w:eastAsia="仿宋_GB2312"/>
          <w:sz w:val="28"/>
          <w:szCs w:val="28"/>
          <w:highlight w:val="none"/>
        </w:rPr>
        <w:t>职责是承担本市兽药、饲料和饲料添加剂质量监测工作；承担本市兽药、饲料和饲料添加剂质量安全检验检测及相关技术推广工作；承担兽药、饲料行业管理及质量安全管理的技术性、辅助性、事务性工作。</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2258.32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19.7</w:t>
      </w:r>
      <w:r>
        <w:rPr>
          <w:rFonts w:hint="eastAsia" w:ascii="仿宋_GB2312" w:eastAsia="仿宋_GB2312"/>
          <w:sz w:val="28"/>
          <w:szCs w:val="28"/>
        </w:rPr>
        <w:t>万元，下降</w:t>
      </w:r>
      <w:r>
        <w:rPr>
          <w:rFonts w:hint="eastAsia" w:ascii="仿宋_GB2312" w:eastAsia="仿宋_GB2312"/>
          <w:sz w:val="28"/>
          <w:szCs w:val="28"/>
          <w:lang w:val="en-US" w:eastAsia="zh-CN"/>
        </w:rPr>
        <w:t>0.86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1890.74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209.09</w:t>
      </w:r>
      <w:r>
        <w:rPr>
          <w:rFonts w:hint="eastAsia" w:ascii="仿宋_GB2312" w:eastAsia="仿宋_GB2312"/>
          <w:sz w:val="28"/>
          <w:szCs w:val="28"/>
        </w:rPr>
        <w:t>万元，下降</w:t>
      </w:r>
      <w:r>
        <w:rPr>
          <w:rFonts w:hint="eastAsia" w:ascii="仿宋_GB2312" w:eastAsia="仿宋_GB2312"/>
          <w:sz w:val="28"/>
          <w:szCs w:val="28"/>
          <w:lang w:val="en-US" w:eastAsia="zh-CN"/>
        </w:rPr>
        <w:t>9.96</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1890.64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1890.64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0.09</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2158.98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302.72</w:t>
      </w:r>
      <w:r>
        <w:rPr>
          <w:rFonts w:hint="eastAsia" w:ascii="仿宋_GB2312" w:eastAsia="仿宋_GB2312"/>
          <w:sz w:val="28"/>
          <w:szCs w:val="28"/>
        </w:rPr>
        <w:t>万元，增长</w:t>
      </w:r>
      <w:r>
        <w:rPr>
          <w:rFonts w:hint="eastAsia" w:ascii="仿宋_GB2312" w:eastAsia="仿宋_GB2312"/>
          <w:sz w:val="28"/>
          <w:szCs w:val="28"/>
          <w:lang w:val="en-US" w:eastAsia="zh-CN"/>
        </w:rPr>
        <w:t>16.31</w:t>
      </w:r>
      <w:r>
        <w:rPr>
          <w:rFonts w:hint="eastAsia" w:ascii="仿宋_GB2312" w:eastAsia="仿宋_GB2312"/>
          <w:sz w:val="28"/>
          <w:szCs w:val="28"/>
        </w:rPr>
        <w:t>%，其中：基本支出</w:t>
      </w:r>
      <w:r>
        <w:rPr>
          <w:rFonts w:ascii="仿宋_GB2312" w:eastAsia="仿宋_GB2312"/>
          <w:sz w:val="28"/>
          <w:szCs w:val="28"/>
        </w:rPr>
        <w:t>1412.9</w:t>
      </w:r>
      <w:r>
        <w:rPr>
          <w:rFonts w:hint="eastAsia" w:ascii="仿宋_GB2312" w:eastAsia="仿宋_GB2312"/>
          <w:sz w:val="28"/>
          <w:szCs w:val="28"/>
        </w:rPr>
        <w:t>万元，占支出合计的</w:t>
      </w:r>
      <w:r>
        <w:rPr>
          <w:rFonts w:hint="eastAsia" w:ascii="仿宋_GB2312" w:eastAsia="仿宋_GB2312"/>
          <w:sz w:val="28"/>
          <w:szCs w:val="28"/>
          <w:lang w:eastAsia="zh-CN"/>
        </w:rPr>
        <w:t>65.44</w:t>
      </w:r>
      <w:r>
        <w:rPr>
          <w:rFonts w:hint="eastAsia" w:ascii="仿宋_GB2312" w:eastAsia="仿宋_GB2312"/>
          <w:sz w:val="28"/>
          <w:szCs w:val="28"/>
        </w:rPr>
        <w:t>%；项目支出</w:t>
      </w:r>
      <w:r>
        <w:rPr>
          <w:rFonts w:ascii="仿宋_GB2312" w:eastAsia="仿宋_GB2312"/>
          <w:sz w:val="28"/>
          <w:szCs w:val="28"/>
        </w:rPr>
        <w:t>746.08</w:t>
      </w:r>
      <w:r>
        <w:rPr>
          <w:rFonts w:hint="eastAsia" w:ascii="仿宋_GB2312" w:eastAsia="仿宋_GB2312"/>
          <w:sz w:val="28"/>
          <w:szCs w:val="28"/>
        </w:rPr>
        <w:t>万元，占支出合计的</w:t>
      </w:r>
      <w:r>
        <w:rPr>
          <w:rFonts w:hint="eastAsia" w:ascii="仿宋_GB2312" w:eastAsia="仿宋_GB2312"/>
          <w:sz w:val="28"/>
          <w:szCs w:val="28"/>
          <w:lang w:eastAsia="zh-CN"/>
        </w:rPr>
        <w:t>34.56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2"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2234.63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59.8</w:t>
      </w:r>
      <w:r>
        <w:rPr>
          <w:rFonts w:hint="eastAsia" w:ascii="仿宋_GB2312" w:eastAsia="仿宋_GB2312"/>
          <w:sz w:val="28"/>
          <w:szCs w:val="28"/>
        </w:rPr>
        <w:t>万元，增长</w:t>
      </w:r>
      <w:r>
        <w:rPr>
          <w:rFonts w:hint="eastAsia" w:ascii="仿宋_GB2312" w:eastAsia="仿宋_GB2312"/>
          <w:sz w:val="28"/>
          <w:szCs w:val="28"/>
          <w:lang w:val="en-US" w:eastAsia="zh-CN"/>
        </w:rPr>
        <w:t>2.75</w:t>
      </w:r>
      <w:r>
        <w:rPr>
          <w:rFonts w:hint="eastAsia" w:ascii="仿宋_GB2312" w:eastAsia="仿宋_GB2312"/>
          <w:sz w:val="28"/>
          <w:szCs w:val="28"/>
        </w:rPr>
        <w:t>%。主要原因：</w:t>
      </w:r>
      <w:r>
        <w:rPr>
          <w:rFonts w:hint="eastAsia" w:ascii="仿宋_GB2312" w:eastAsia="仿宋_GB2312"/>
          <w:color w:val="000000" w:themeColor="text1"/>
          <w:sz w:val="28"/>
          <w:szCs w:val="28"/>
          <w14:textFill>
            <w14:solidFill>
              <w14:schemeClr w14:val="tx1"/>
            </w14:solidFill>
          </w14:textFill>
        </w:rPr>
        <w:t>根据属地公安系统易制爆危险化学品安全检查要求，</w:t>
      </w:r>
      <w:r>
        <w:rPr>
          <w:rFonts w:hint="eastAsia" w:ascii="仿宋_GB2312" w:eastAsia="仿宋_GB2312"/>
          <w:color w:val="000000" w:themeColor="text1"/>
          <w:sz w:val="28"/>
          <w:szCs w:val="28"/>
          <w:lang w:val="en-US" w:eastAsia="zh-CN"/>
          <w14:textFill>
            <w14:solidFill>
              <w14:schemeClr w14:val="tx1"/>
            </w14:solidFill>
          </w14:textFill>
        </w:rPr>
        <w:t>进行</w:t>
      </w:r>
      <w:r>
        <w:rPr>
          <w:rFonts w:hint="eastAsia" w:ascii="仿宋_GB2312" w:eastAsia="仿宋_GB2312"/>
          <w:color w:val="000000" w:themeColor="text1"/>
          <w:sz w:val="28"/>
          <w:szCs w:val="28"/>
          <w14:textFill>
            <w14:solidFill>
              <w14:schemeClr w14:val="tx1"/>
            </w14:solidFill>
          </w14:textFill>
        </w:rPr>
        <w:t>专业试剂库升级改造</w:t>
      </w:r>
      <w:r>
        <w:rPr>
          <w:rFonts w:hint="eastAsia" w:ascii="仿宋_GB2312" w:eastAsia="仿宋_GB2312"/>
          <w:color w:val="000000" w:themeColor="text1"/>
          <w:sz w:val="28"/>
          <w:szCs w:val="28"/>
          <w:lang w:eastAsia="zh-CN"/>
          <w14:textFill>
            <w14:solidFill>
              <w14:schemeClr w14:val="tx1"/>
            </w14:solidFill>
          </w14:textFill>
        </w:rPr>
        <w:t>工作</w:t>
      </w:r>
      <w:r>
        <w:rPr>
          <w:rFonts w:hint="eastAsia" w:ascii="仿宋_GB2312" w:eastAsia="仿宋_GB2312"/>
          <w:color w:val="000000" w:themeColor="text1"/>
          <w:sz w:val="28"/>
          <w:szCs w:val="28"/>
          <w14:textFill>
            <w14:solidFill>
              <w14:schemeClr w14:val="tx1"/>
            </w14:solidFill>
          </w14:textFill>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2158.89</w:t>
      </w:r>
      <w:r>
        <w:rPr>
          <w:rFonts w:hint="eastAsia" w:ascii="仿宋_GB2312" w:eastAsia="仿宋_GB2312"/>
          <w:sz w:val="28"/>
          <w:szCs w:val="28"/>
        </w:rPr>
        <w:t>万元，主要用于以下方面：社会保障和就业支出</w:t>
      </w:r>
      <w:r>
        <w:rPr>
          <w:rFonts w:hint="eastAsia" w:ascii="仿宋_GB2312" w:eastAsia="仿宋_GB2312"/>
          <w:sz w:val="28"/>
          <w:szCs w:val="28"/>
          <w:lang w:val="en-US" w:eastAsia="zh-CN"/>
        </w:rPr>
        <w:t>197.15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9.13</w:t>
      </w:r>
      <w:r>
        <w:rPr>
          <w:rFonts w:hint="eastAsia" w:ascii="仿宋_GB2312" w:eastAsia="仿宋_GB2312"/>
          <w:sz w:val="28"/>
          <w:szCs w:val="28"/>
        </w:rPr>
        <w:t>%。卫生健康支出</w:t>
      </w:r>
      <w:r>
        <w:rPr>
          <w:rFonts w:hint="eastAsia" w:ascii="仿宋_GB2312" w:eastAsia="仿宋_GB2312"/>
          <w:sz w:val="28"/>
          <w:szCs w:val="28"/>
          <w:lang w:val="en-US" w:eastAsia="zh-CN"/>
        </w:rPr>
        <w:t>88.93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4.12</w:t>
      </w:r>
      <w:r>
        <w:rPr>
          <w:rFonts w:hint="eastAsia" w:ascii="仿宋_GB2312" w:eastAsia="仿宋_GB2312"/>
          <w:sz w:val="28"/>
          <w:szCs w:val="28"/>
        </w:rPr>
        <w:t>%。农林水支出</w:t>
      </w:r>
      <w:r>
        <w:rPr>
          <w:rFonts w:hint="eastAsia" w:ascii="仿宋_GB2312" w:eastAsia="仿宋_GB2312"/>
          <w:sz w:val="28"/>
          <w:szCs w:val="28"/>
          <w:lang w:val="en-US" w:eastAsia="zh-CN"/>
        </w:rPr>
        <w:t>1872.81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86.75</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1、“社会保障和就业支出”(类)202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w:t>
      </w:r>
      <w:r>
        <w:rPr>
          <w:rFonts w:hint="eastAsia" w:ascii="仿宋_GB2312" w:eastAsia="仿宋_GB2312"/>
          <w:color w:val="auto"/>
          <w:sz w:val="28"/>
          <w:szCs w:val="28"/>
          <w:lang w:eastAsia="zh-CN"/>
        </w:rPr>
        <w:t>年初预算</w:t>
      </w:r>
      <w:r>
        <w:rPr>
          <w:rFonts w:hint="eastAsia" w:ascii="仿宋_GB2312" w:eastAsia="仿宋_GB2312"/>
          <w:color w:val="auto"/>
          <w:sz w:val="28"/>
          <w:szCs w:val="28"/>
          <w:lang w:val="en-US" w:eastAsia="zh-CN"/>
        </w:rPr>
        <w:t>192.29万元</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2024年度</w:t>
      </w:r>
      <w:r>
        <w:rPr>
          <w:rFonts w:hint="eastAsia" w:ascii="仿宋_GB2312" w:eastAsia="仿宋_GB2312"/>
          <w:color w:val="auto"/>
          <w:sz w:val="28"/>
          <w:szCs w:val="28"/>
        </w:rPr>
        <w:t>决算</w:t>
      </w:r>
      <w:r>
        <w:rPr>
          <w:rFonts w:hint="eastAsia" w:ascii="仿宋_GB2312" w:eastAsia="仿宋_GB2312"/>
          <w:color w:val="auto"/>
          <w:sz w:val="28"/>
          <w:szCs w:val="28"/>
          <w:lang w:val="en-US" w:eastAsia="zh-CN"/>
        </w:rPr>
        <w:t>197.15</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w:t>
      </w:r>
      <w:r>
        <w:rPr>
          <w:rFonts w:hint="default" w:ascii="仿宋_GB2312" w:eastAsia="仿宋_GB2312"/>
          <w:color w:val="auto"/>
          <w:sz w:val="28"/>
          <w:szCs w:val="28"/>
          <w:lang w:val="en" w:eastAsia="zh-CN"/>
        </w:rPr>
        <w:t>2</w:t>
      </w:r>
      <w:r>
        <w:rPr>
          <w:rFonts w:hint="eastAsia" w:ascii="仿宋_GB2312" w:eastAsia="仿宋_GB2312"/>
          <w:color w:val="auto"/>
          <w:sz w:val="28"/>
          <w:szCs w:val="28"/>
          <w:lang w:val="en-US" w:eastAsia="zh-CN"/>
        </w:rPr>
        <w:t>.</w:t>
      </w:r>
      <w:r>
        <w:rPr>
          <w:rFonts w:hint="default" w:ascii="仿宋_GB2312" w:eastAsia="仿宋_GB2312"/>
          <w:color w:val="auto"/>
          <w:sz w:val="28"/>
          <w:szCs w:val="28"/>
          <w:lang w:val="en" w:eastAsia="zh-CN"/>
        </w:rPr>
        <w:t>53</w:t>
      </w:r>
      <w:r>
        <w:rPr>
          <w:rFonts w:hint="eastAsia" w:ascii="仿宋_GB2312" w:eastAsia="仿宋_GB2312"/>
          <w:color w:val="auto"/>
          <w:sz w:val="28"/>
          <w:szCs w:val="28"/>
          <w:lang w:val="en-US" w:eastAsia="zh-CN"/>
        </w:rPr>
        <w:t>%</w:t>
      </w:r>
      <w:r>
        <w:rPr>
          <w:rFonts w:hint="eastAsia" w:ascii="仿宋_GB2312" w:eastAsia="仿宋_GB2312"/>
          <w:color w:val="auto"/>
          <w:sz w:val="28"/>
          <w:szCs w:val="28"/>
        </w:rPr>
        <w:t>。其中：</w:t>
      </w:r>
    </w:p>
    <w:p>
      <w:pPr>
        <w:spacing w:line="580" w:lineRule="exact"/>
        <w:ind w:firstLine="560" w:firstLineChars="200"/>
        <w:rPr>
          <w:rFonts w:hint="eastAsia"/>
          <w:color w:val="000000" w:themeColor="text1"/>
          <w:lang w:eastAsia="zh-CN"/>
          <w14:textFill>
            <w14:solidFill>
              <w14:schemeClr w14:val="tx1"/>
            </w14:solidFill>
          </w14:textFill>
        </w:rPr>
      </w:pPr>
      <w:r>
        <w:rPr>
          <w:rFonts w:hint="eastAsia" w:ascii="仿宋_GB2312" w:eastAsia="仿宋_GB2312"/>
          <w:color w:val="auto"/>
          <w:sz w:val="28"/>
          <w:szCs w:val="28"/>
        </w:rPr>
        <w:t>“行政事业单位养老支出”（款）202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w:t>
      </w:r>
      <w:r>
        <w:rPr>
          <w:rFonts w:hint="eastAsia" w:ascii="仿宋_GB2312" w:eastAsia="仿宋_GB2312"/>
          <w:color w:val="auto"/>
          <w:sz w:val="28"/>
          <w:szCs w:val="28"/>
          <w:lang w:eastAsia="zh-CN"/>
        </w:rPr>
        <w:t>年初预算</w:t>
      </w:r>
      <w:r>
        <w:rPr>
          <w:rFonts w:hint="eastAsia" w:ascii="仿宋_GB2312" w:eastAsia="仿宋_GB2312"/>
          <w:color w:val="auto"/>
          <w:sz w:val="28"/>
          <w:szCs w:val="28"/>
          <w:lang w:val="en-US" w:eastAsia="zh-CN"/>
        </w:rPr>
        <w:t>192.29万元</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2024年度</w:t>
      </w:r>
      <w:r>
        <w:rPr>
          <w:rFonts w:hint="eastAsia" w:ascii="仿宋_GB2312" w:eastAsia="仿宋_GB2312"/>
          <w:color w:val="auto"/>
          <w:sz w:val="28"/>
          <w:szCs w:val="28"/>
        </w:rPr>
        <w:t>决算</w:t>
      </w:r>
      <w:r>
        <w:rPr>
          <w:rFonts w:hint="eastAsia" w:ascii="仿宋_GB2312" w:eastAsia="仿宋_GB2312"/>
          <w:color w:val="auto"/>
          <w:sz w:val="28"/>
          <w:szCs w:val="28"/>
          <w:lang w:val="en-US" w:eastAsia="zh-CN"/>
        </w:rPr>
        <w:t>197.15</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100.03%</w:t>
      </w:r>
      <w:r>
        <w:rPr>
          <w:rFonts w:hint="eastAsia" w:ascii="仿宋_GB2312" w:eastAsia="仿宋_GB2312"/>
          <w:color w:val="auto"/>
          <w:sz w:val="28"/>
          <w:szCs w:val="28"/>
        </w:rPr>
        <w:t>。主要原因：</w:t>
      </w:r>
      <w:r>
        <w:rPr>
          <w:rFonts w:hint="eastAsia" w:ascii="仿宋_GB2312" w:eastAsia="仿宋_GB2312"/>
          <w:color w:val="000000" w:themeColor="text1"/>
          <w:sz w:val="28"/>
          <w:szCs w:val="28"/>
          <w14:textFill>
            <w14:solidFill>
              <w14:schemeClr w14:val="tx1"/>
            </w14:solidFill>
          </w14:textFill>
        </w:rPr>
        <w:t>按照实际缴费情况缴纳职工基本养老保险和职业年金。</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color w:val="auto"/>
          <w:sz w:val="28"/>
          <w:szCs w:val="28"/>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auto"/>
          <w:sz w:val="28"/>
          <w:szCs w:val="28"/>
          <w:lang w:val="en-US" w:eastAsia="zh-CN"/>
        </w:rPr>
        <w:t>94.20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88.93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highlight w:val="none"/>
          <w:lang w:val="en-US" w:eastAsia="zh-CN"/>
        </w:rPr>
        <w:t>94.41</w:t>
      </w:r>
      <w:r>
        <w:rPr>
          <w:rFonts w:hint="eastAsia" w:ascii="仿宋_GB2312" w:eastAsia="仿宋_GB2312"/>
          <w:sz w:val="28"/>
          <w:szCs w:val="28"/>
          <w:highlight w:val="none"/>
        </w:rPr>
        <w:t>%</w:t>
      </w:r>
      <w:r>
        <w:rPr>
          <w:rFonts w:hint="eastAsia" w:ascii="仿宋_GB2312" w:eastAsia="仿宋_GB2312"/>
          <w:sz w:val="28"/>
          <w:szCs w:val="28"/>
        </w:rPr>
        <w:t>。其中：</w:t>
      </w:r>
    </w:p>
    <w:p>
      <w:pPr>
        <w:spacing w:line="580" w:lineRule="exact"/>
        <w:ind w:firstLine="560" w:firstLineChars="200"/>
        <w:rPr>
          <w:rFonts w:hint="eastAsia"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color w:val="auto"/>
          <w:sz w:val="28"/>
          <w:szCs w:val="28"/>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color w:val="auto"/>
          <w:sz w:val="28"/>
          <w:szCs w:val="28"/>
          <w:lang w:val="en-US" w:eastAsia="zh-CN"/>
        </w:rPr>
        <w:t>94.20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88.93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highlight w:val="none"/>
          <w:lang w:val="en-US" w:eastAsia="zh-CN"/>
        </w:rPr>
        <w:t>94.41</w:t>
      </w:r>
      <w:r>
        <w:rPr>
          <w:rFonts w:hint="eastAsia" w:ascii="仿宋_GB2312" w:eastAsia="仿宋_GB2312"/>
          <w:sz w:val="28"/>
          <w:szCs w:val="28"/>
          <w:highlight w:val="none"/>
        </w:rPr>
        <w:t>%</w:t>
      </w:r>
      <w:r>
        <w:rPr>
          <w:rFonts w:hint="eastAsia" w:ascii="仿宋_GB2312" w:eastAsia="仿宋_GB2312"/>
          <w:sz w:val="28"/>
          <w:szCs w:val="28"/>
        </w:rPr>
        <w:t>。主要原因：</w:t>
      </w:r>
      <w:r>
        <w:rPr>
          <w:rFonts w:hint="eastAsia" w:ascii="仿宋_GB2312" w:eastAsia="仿宋_GB2312"/>
          <w:color w:val="000000" w:themeColor="text1"/>
          <w:sz w:val="28"/>
          <w:szCs w:val="28"/>
          <w14:textFill>
            <w14:solidFill>
              <w14:schemeClr w14:val="tx1"/>
            </w14:solidFill>
          </w14:textFill>
        </w:rPr>
        <w:t>按照实际缴费情况缴纳职工医疗保险。</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w:t>
      </w:r>
      <w:r>
        <w:rPr>
          <w:rFonts w:hint="eastAsia" w:ascii="仿宋_GB2312" w:eastAsia="仿宋_GB2312"/>
          <w:color w:val="auto"/>
          <w:sz w:val="28"/>
          <w:szCs w:val="28"/>
          <w:highlight w:val="none"/>
        </w:rPr>
        <w:t>“农林水支出”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color w:val="auto"/>
          <w:sz w:val="28"/>
          <w:szCs w:val="28"/>
          <w:highlight w:val="none"/>
          <w:lang w:val="en-US" w:eastAsia="zh-CN"/>
        </w:rPr>
        <w:t>1939.76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color w:val="auto"/>
          <w:sz w:val="28"/>
          <w:szCs w:val="28"/>
          <w:highlight w:val="none"/>
          <w:lang w:val="en-US" w:eastAsia="zh-CN"/>
        </w:rPr>
        <w:t>1872.81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96.55</w:t>
      </w:r>
      <w:r>
        <w:rPr>
          <w:rFonts w:hint="eastAsia" w:ascii="仿宋_GB2312" w:eastAsia="仿宋_GB2312"/>
          <w:sz w:val="28"/>
          <w:szCs w:val="28"/>
          <w:highlight w:val="none"/>
        </w:rPr>
        <w:t>%。其中：</w:t>
      </w:r>
    </w:p>
    <w:p>
      <w:pPr>
        <w:spacing w:line="580" w:lineRule="exact"/>
        <w:ind w:firstLine="560" w:firstLineChars="200"/>
        <w:rPr>
          <w:rFonts w:hint="eastAsia" w:eastAsia="仿宋_GB2312"/>
          <w:color w:val="000000" w:themeColor="text1"/>
          <w:lang w:eastAsia="zh-CN"/>
          <w14:textFill>
            <w14:solidFill>
              <w14:schemeClr w14:val="tx1"/>
            </w14:solidFill>
          </w14:textFill>
        </w:rPr>
      </w:pPr>
      <w:r>
        <w:rPr>
          <w:rFonts w:hint="eastAsia" w:ascii="仿宋_GB2312" w:eastAsia="仿宋_GB2312"/>
          <w:color w:val="auto"/>
          <w:sz w:val="28"/>
          <w:szCs w:val="28"/>
          <w:highlight w:val="none"/>
        </w:rPr>
        <w:t>“农业农村”（款）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color w:val="auto"/>
          <w:sz w:val="28"/>
          <w:szCs w:val="28"/>
          <w:highlight w:val="none"/>
          <w:lang w:val="en-US" w:eastAsia="zh-CN"/>
        </w:rPr>
        <w:t>1939.76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color w:val="auto"/>
          <w:sz w:val="28"/>
          <w:szCs w:val="28"/>
          <w:highlight w:val="none"/>
          <w:lang w:val="en-US" w:eastAsia="zh-CN"/>
        </w:rPr>
        <w:t>1872.81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96.55</w:t>
      </w:r>
      <w:r>
        <w:rPr>
          <w:rFonts w:hint="eastAsia" w:ascii="仿宋_GB2312" w:eastAsia="仿宋_GB2312"/>
          <w:sz w:val="28"/>
          <w:szCs w:val="28"/>
          <w:highlight w:val="none"/>
        </w:rPr>
        <w:t>%。主要原因：</w:t>
      </w:r>
      <w:r>
        <w:rPr>
          <w:rFonts w:hint="eastAsia" w:ascii="仿宋_GB2312" w:eastAsia="仿宋_GB2312"/>
          <w:color w:val="000000" w:themeColor="text1"/>
          <w:sz w:val="28"/>
          <w:szCs w:val="28"/>
          <w:highlight w:val="none"/>
          <w14:textFill>
            <w14:solidFill>
              <w14:schemeClr w14:val="tx1"/>
            </w14:solidFill>
          </w14:textFill>
        </w:rPr>
        <w:t>落实政府过紧日子的要求，压减和严控一般性支出。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pPr>
      <w:r>
        <w:rPr>
          <w:rFonts w:hint="eastAsia" w:ascii="仿宋_GB2312" w:eastAsia="仿宋_GB2312"/>
          <w:sz w:val="28"/>
          <w:szCs w:val="28"/>
        </w:rPr>
        <w:t>本单位无相关内容。</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1412.8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jc w:val="left"/>
        <w:rPr>
          <w:rFonts w:hint="eastAsia"/>
        </w:rPr>
      </w:pPr>
      <w:r>
        <w:rPr>
          <w:rFonts w:ascii="仿宋_GB2312" w:eastAsia="仿宋_GB2312"/>
          <w:b/>
          <w:sz w:val="32"/>
          <w:szCs w:val="32"/>
        </w:rPr>
        <w:br w:type="page"/>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4.26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7.5</w:t>
      </w:r>
      <w:r>
        <w:rPr>
          <w:rFonts w:hint="eastAsia" w:ascii="仿宋_GB2312" w:eastAsia="仿宋_GB2312"/>
          <w:sz w:val="28"/>
          <w:szCs w:val="28"/>
        </w:rPr>
        <w:t>万元减少</w:t>
      </w:r>
      <w:r>
        <w:rPr>
          <w:rFonts w:ascii="仿宋_GB2312" w:eastAsia="仿宋_GB2312"/>
          <w:sz w:val="28"/>
          <w:szCs w:val="28"/>
        </w:rPr>
        <w:t>3.24</w:t>
      </w:r>
      <w:r>
        <w:rPr>
          <w:rFonts w:hint="eastAsia" w:ascii="仿宋_GB2312" w:eastAsia="仿宋_GB2312"/>
          <w:sz w:val="28"/>
          <w:szCs w:val="28"/>
        </w:rPr>
        <w:t>万元。其中：</w:t>
      </w:r>
    </w:p>
    <w:p>
      <w:pPr>
        <w:spacing w:line="560" w:lineRule="exact"/>
        <w:ind w:firstLine="600"/>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1.因公出国（境）费用。本单位无此项经费</w:t>
      </w:r>
    </w:p>
    <w:p>
      <w:pPr>
        <w:spacing w:line="560" w:lineRule="exact"/>
        <w:ind w:firstLine="600"/>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2.公务接待费。</w:t>
      </w:r>
      <w:r>
        <w:rPr>
          <w:rFonts w:hint="eastAsia" w:ascii="仿宋_GB2312" w:eastAsia="仿宋_GB2312"/>
          <w:color w:val="000000" w:themeColor="text1"/>
          <w:sz w:val="28"/>
          <w:szCs w:val="28"/>
          <w:highlight w:val="none"/>
          <w:lang w:eastAsia="zh-CN"/>
          <w14:textFill>
            <w14:solidFill>
              <w14:schemeClr w14:val="tx1"/>
            </w14:solidFill>
          </w14:textFill>
        </w:rPr>
        <w:t>本单位无此项经费</w:t>
      </w:r>
    </w:p>
    <w:p>
      <w:pPr>
        <w:spacing w:line="56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ascii="仿宋_GB2312" w:eastAsia="仿宋_GB2312"/>
          <w:sz w:val="28"/>
          <w:szCs w:val="28"/>
          <w:highlight w:val="none"/>
        </w:rPr>
        <w:t>4.26</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ascii="仿宋_GB2312" w:eastAsia="仿宋_GB2312"/>
          <w:sz w:val="28"/>
          <w:szCs w:val="28"/>
          <w:highlight w:val="none"/>
        </w:rPr>
        <w:t>7.5</w:t>
      </w:r>
      <w:r>
        <w:rPr>
          <w:rFonts w:hint="eastAsia" w:ascii="仿宋_GB2312" w:eastAsia="仿宋_GB2312"/>
          <w:sz w:val="28"/>
          <w:szCs w:val="28"/>
          <w:highlight w:val="none"/>
        </w:rPr>
        <w:t>万元减少</w:t>
      </w:r>
      <w:r>
        <w:rPr>
          <w:rFonts w:ascii="仿宋_GB2312" w:eastAsia="仿宋_GB2312"/>
          <w:sz w:val="28"/>
          <w:szCs w:val="28"/>
          <w:highlight w:val="none"/>
        </w:rPr>
        <w:t>3.24</w:t>
      </w:r>
      <w:r>
        <w:rPr>
          <w:rFonts w:hint="eastAsia" w:ascii="仿宋_GB2312" w:eastAsia="仿宋_GB2312"/>
          <w:sz w:val="28"/>
          <w:szCs w:val="28"/>
          <w:highlight w:val="none"/>
        </w:rPr>
        <w:t>万元。其中，公务用车购置费202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年度购置（更新）</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辆。公务用车运行维护费202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4.26</w:t>
      </w:r>
      <w:r>
        <w:rPr>
          <w:rFonts w:hint="eastAsia" w:ascii="仿宋_GB2312" w:eastAsia="仿宋_GB2312"/>
          <w:sz w:val="28"/>
          <w:szCs w:val="28"/>
          <w:highlight w:val="none"/>
        </w:rPr>
        <w:t>万元，主要原因：</w:t>
      </w:r>
      <w:r>
        <w:rPr>
          <w:rFonts w:hint="eastAsia" w:ascii="仿宋_GB2312" w:eastAsia="仿宋_GB2312"/>
          <w:color w:val="000000" w:themeColor="text1"/>
          <w:sz w:val="28"/>
          <w:szCs w:val="28"/>
          <w:highlight w:val="none"/>
          <w14:textFill>
            <w14:solidFill>
              <w14:schemeClr w14:val="tx1"/>
            </w14:solidFill>
          </w14:textFill>
        </w:rPr>
        <w:t>落实政府过紧日子的要求，压减和严控一般性支出。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rPr>
      </w:pPr>
      <w:r>
        <w:rPr>
          <w:rFonts w:hint="eastAsia" w:ascii="仿宋_GB2312" w:eastAsia="仿宋_GB2312"/>
          <w:sz w:val="28"/>
          <w:szCs w:val="28"/>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548.87</w:t>
      </w:r>
      <w:r>
        <w:rPr>
          <w:rFonts w:hint="eastAsia" w:ascii="仿宋_GB2312" w:eastAsia="仿宋_GB2312"/>
          <w:sz w:val="28"/>
          <w:szCs w:val="28"/>
        </w:rPr>
        <w:t>万元，其中：政府采购货物支出</w:t>
      </w:r>
      <w:r>
        <w:rPr>
          <w:rFonts w:ascii="仿宋_GB2312" w:eastAsia="仿宋_GB2312"/>
          <w:sz w:val="28"/>
          <w:szCs w:val="28"/>
        </w:rPr>
        <w:t>505.37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43.5</w:t>
      </w:r>
      <w:r>
        <w:rPr>
          <w:rFonts w:hint="eastAsia" w:ascii="仿宋_GB2312" w:eastAsia="仿宋_GB2312"/>
          <w:sz w:val="28"/>
          <w:szCs w:val="28"/>
        </w:rPr>
        <w:t>万元。授予中小企业合同金额</w:t>
      </w:r>
      <w:r>
        <w:rPr>
          <w:rFonts w:ascii="仿宋_GB2312" w:eastAsia="仿宋_GB2312"/>
          <w:sz w:val="28"/>
          <w:szCs w:val="28"/>
        </w:rPr>
        <w:t>196.94</w:t>
      </w:r>
      <w:r>
        <w:rPr>
          <w:rFonts w:hint="eastAsia" w:ascii="仿宋_GB2312" w:eastAsia="仿宋_GB2312"/>
          <w:sz w:val="28"/>
          <w:szCs w:val="28"/>
        </w:rPr>
        <w:t>万元，占政府采购支出总额的</w:t>
      </w:r>
      <w:r>
        <w:rPr>
          <w:rFonts w:hint="eastAsia" w:ascii="仿宋_GB2312" w:eastAsia="仿宋_GB2312"/>
          <w:sz w:val="28"/>
          <w:szCs w:val="28"/>
          <w:lang w:eastAsia="zh-CN"/>
        </w:rPr>
        <w:t>35.88</w:t>
      </w:r>
      <w:r>
        <w:rPr>
          <w:rFonts w:hint="eastAsia" w:ascii="仿宋_GB2312" w:eastAsia="仿宋_GB2312"/>
          <w:sz w:val="28"/>
          <w:szCs w:val="28"/>
        </w:rPr>
        <w:t>%，其中：授予小微企业合同金额</w:t>
      </w:r>
      <w:r>
        <w:rPr>
          <w:rFonts w:ascii="仿宋_GB2312" w:eastAsia="仿宋_GB2312"/>
          <w:sz w:val="28"/>
          <w:szCs w:val="28"/>
        </w:rPr>
        <w:t>8.35</w:t>
      </w:r>
      <w:r>
        <w:rPr>
          <w:rFonts w:hint="eastAsia" w:ascii="仿宋_GB2312" w:eastAsia="仿宋_GB2312"/>
          <w:sz w:val="28"/>
          <w:szCs w:val="28"/>
        </w:rPr>
        <w:t>万元，占政府采购支出总额的</w:t>
      </w:r>
      <w:r>
        <w:rPr>
          <w:rFonts w:ascii="仿宋_GB2312" w:eastAsia="仿宋_GB2312"/>
          <w:sz w:val="28"/>
          <w:szCs w:val="28"/>
        </w:rPr>
        <w:t>1.52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12月31日，北京市兽药饲料监测中心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16</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7.教育支出（类）进修及培训（款）培训支出（项）：反映各部门安排的用于培训的支出。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8.社会保障和就业支出（类）行政事业单位养老支出（款）事业单位离退休（项）：反映事业单位开支的离退休经费。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9.社会保障和就业支出（类）行政事业单位养老支出（款）机关事业单位基本养老保险缴费支出（项）：反映机关事业单位实施养老保险制度由各单位缴纳的基本养老保险支出。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11.卫生健康支出（类）行政事业单位医疗（款）事业单位医疗（项）：反映行政事业单位实施医疗保险制度由单位实际缴纳的基本医疗保险支出。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12.农林水支出（类）农业农村（款）事业运行（项）：反映用于农业事业单位基本支出，事业单位设施、系统运行与资产维护等方面的支出。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13.农林水支出（类）农业农村（款）农产品质量安全（项）：反映用于改造农产品及其投入品存放环境方面的支出。</w:t>
      </w:r>
    </w:p>
    <w:p>
      <w:pPr>
        <w:keepNext w:val="0"/>
        <w:keepLines w:val="0"/>
        <w:ind w:firstLine="560" w:firstLineChars="200"/>
        <w:rPr>
          <w:rFonts w:hint="eastAsia"/>
          <w:lang w:val="en-US" w:eastAsia="zh-CN"/>
        </w:rPr>
      </w:pPr>
      <w:r>
        <w:rPr>
          <w:rFonts w:hint="eastAsia" w:ascii="仿宋_GB2312" w:eastAsia="仿宋_GB2312"/>
          <w:sz w:val="28"/>
          <w:szCs w:val="28"/>
        </w:rPr>
        <w:t>14.农林水支出（类）农业农村（款）其他农业农村支出（项）：反映用于农产品及其投入品的质量安全评估、监测、抽查、认证、应急处置，相关标准的制定、修订、实施、监管等方面的支出。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0" w:firstLineChars="0"/>
        <w:jc w:val="left"/>
        <w:rPr>
          <w:rFonts w:hint="eastAsia" w:ascii="黑体" w:eastAsia="黑体"/>
          <w:sz w:val="32"/>
          <w:szCs w:val="32"/>
        </w:rPr>
      </w:pPr>
      <w:r>
        <w:rPr>
          <w:rFonts w:hint="eastAsia" w:ascii="黑体" w:eastAsia="黑体"/>
          <w:sz w:val="32"/>
          <w:szCs w:val="32"/>
        </w:rPr>
        <w:br w:type="page"/>
      </w: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项目支出绩效自评表（详见附件）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1FFFE245"/>
    <w:rsid w:val="214243FA"/>
    <w:rsid w:val="21AD613C"/>
    <w:rsid w:val="22467189"/>
    <w:rsid w:val="257A14F5"/>
    <w:rsid w:val="27196C26"/>
    <w:rsid w:val="27DF3627"/>
    <w:rsid w:val="29EF086F"/>
    <w:rsid w:val="2EFFE297"/>
    <w:rsid w:val="301437CA"/>
    <w:rsid w:val="349D1F0A"/>
    <w:rsid w:val="34DD0473"/>
    <w:rsid w:val="3C684897"/>
    <w:rsid w:val="3FB7AB52"/>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7FF73A6"/>
    <w:rsid w:val="6FFC8E74"/>
    <w:rsid w:val="71793A80"/>
    <w:rsid w:val="71E3679A"/>
    <w:rsid w:val="7357290B"/>
    <w:rsid w:val="798524E4"/>
    <w:rsid w:val="7A7F1C49"/>
    <w:rsid w:val="7B5B7AE6"/>
    <w:rsid w:val="7B7B6628"/>
    <w:rsid w:val="7BA7071E"/>
    <w:rsid w:val="7BDF6DA8"/>
    <w:rsid w:val="7C7EDC1A"/>
    <w:rsid w:val="7CCED98D"/>
    <w:rsid w:val="7D08410F"/>
    <w:rsid w:val="7DB513A8"/>
    <w:rsid w:val="7DB96DED"/>
    <w:rsid w:val="7DD3AD81"/>
    <w:rsid w:val="7E9B0DA2"/>
    <w:rsid w:val="7F7FE70F"/>
    <w:rsid w:val="7FF9361A"/>
    <w:rsid w:val="7FFF772F"/>
    <w:rsid w:val="8DD2E472"/>
    <w:rsid w:val="95F35EF6"/>
    <w:rsid w:val="9BFFD860"/>
    <w:rsid w:val="AC5F73DE"/>
    <w:rsid w:val="B5DDD2C8"/>
    <w:rsid w:val="B9DFABD9"/>
    <w:rsid w:val="BC0D83FC"/>
    <w:rsid w:val="BF3BDEFB"/>
    <w:rsid w:val="BF777AAF"/>
    <w:rsid w:val="C75F6086"/>
    <w:rsid w:val="C7F7ED2D"/>
    <w:rsid w:val="C9DFE529"/>
    <w:rsid w:val="CFAF854E"/>
    <w:rsid w:val="D8D7928E"/>
    <w:rsid w:val="D8FE3136"/>
    <w:rsid w:val="D9FE0852"/>
    <w:rsid w:val="DDDE60B7"/>
    <w:rsid w:val="DE9F6A22"/>
    <w:rsid w:val="DEDE2E15"/>
    <w:rsid w:val="DF4FCE6A"/>
    <w:rsid w:val="DFB79B72"/>
    <w:rsid w:val="DFBE7117"/>
    <w:rsid w:val="DFDB4EEF"/>
    <w:rsid w:val="E4FED278"/>
    <w:rsid w:val="EDAA365C"/>
    <w:rsid w:val="EDADFC12"/>
    <w:rsid w:val="EEFE9E4E"/>
    <w:rsid w:val="EFDF1A6F"/>
    <w:rsid w:val="F2FD229B"/>
    <w:rsid w:val="F7F61BE6"/>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Lbl>
              <c:idx val="1"/>
              <c:delete val="true"/>
            </c:dLbl>
            <c:dLbl>
              <c:idx val="2"/>
              <c:delete val="true"/>
            </c:dLbl>
            <c:dLbl>
              <c:idx val="3"/>
              <c:delete val="true"/>
            </c:dLbl>
            <c:dLbl>
              <c:idx val="4"/>
              <c:delete val="true"/>
            </c:dLbl>
            <c:dLbl>
              <c:idx val="5"/>
              <c:delete val="true"/>
            </c:dLbl>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1890.64</c:v>
                </c:pt>
                <c:pt idx="1">
                  <c:v>0</c:v>
                </c:pt>
                <c:pt idx="2">
                  <c:v>0</c:v>
                </c:pt>
                <c:pt idx="3">
                  <c:v>0</c:v>
                </c:pt>
                <c:pt idx="4">
                  <c:v>0</c:v>
                </c:pt>
                <c:pt idx="5">
                  <c:v>0.09</c:v>
                </c:pt>
              </c:numCache>
            </c:numRef>
          </c:val>
        </c:ser>
        <c:dLbls>
          <c:showLegendKey val="false"/>
          <c:showVal val="true"/>
          <c:showCatName val="false"/>
          <c:showSerName val="false"/>
          <c:showPercent val="false"/>
          <c:showBubbleSize val="false"/>
          <c:showLeaderLines val="true"/>
        </c:dLbls>
        <c:firstSliceAng val="0"/>
      </c:pieChart>
    </c:plotArea>
    <c:legend>
      <c:legendPos val="r"/>
      <c:legendEntry>
        <c:idx val="1"/>
        <c:delete val="true"/>
      </c:legendEntry>
      <c:legendEntry>
        <c:idx val="2"/>
        <c:delete val="true"/>
      </c:legendEntry>
      <c:legendEntry>
        <c:idx val="3"/>
        <c:delete val="true"/>
      </c:legendEntry>
      <c:legendEntry>
        <c:idx val="4"/>
        <c:delete val="true"/>
      </c:legendEntry>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delete val="true"/>
            </c:dLbl>
            <c:dLbl>
              <c:idx val="3"/>
              <c:delete val="true"/>
            </c:dLbl>
            <c:dLbl>
              <c:idx val="4"/>
              <c:delete val="true"/>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1412.9</c:v>
                </c:pt>
                <c:pt idx="1">
                  <c:v>746.08</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delete val="true"/>
      </c:legendEntry>
      <c:legendEntry>
        <c:idx val="3"/>
        <c:delete val="true"/>
      </c:legendEntry>
      <c:legendEntry>
        <c:idx val="4"/>
        <c:delete val="true"/>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18</TotalTime>
  <ScaleCrop>false</ScaleCrop>
  <LinksUpToDate>false</LinksUpToDate>
  <CharactersWithSpaces>5802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2017-07-14T23:16:00Z</dcterms:created>
  <dc:creator>常程</dc:creator>
  <cp:lastModifiedBy>nyncj</cp:lastModifiedBy>
  <cp:lastPrinted>2025-09-03T06:17:00Z</cp:lastPrinted>
  <dcterms:modified xsi:type="dcterms:W3CDTF">2025-09-08T11:07:52Z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