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本单位职责情况：中共北京市委农村工作委员会北京市农业农村局综合事务中心为全额拨款事业单位。主要职责是承担市委农工委、市农业农村局机关综合服务保障、离退休干部管理服务等事务性工作。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机构设置情况：中共北京市委农村工作委员会北京市农业农村局综合事务中心内设机构6个，分别为办公室、离退休人员服务科、物业保障科、机关服务科、综合保障科、资产管理科。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5717.6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379.47</w:t>
      </w:r>
      <w:r>
        <w:rPr>
          <w:rFonts w:hint="eastAsia" w:ascii="仿宋_GB2312" w:eastAsia="仿宋_GB2312"/>
          <w:sz w:val="28"/>
          <w:szCs w:val="28"/>
        </w:rPr>
        <w:t>万元，增长</w:t>
      </w:r>
      <w:r>
        <w:rPr>
          <w:rFonts w:hint="eastAsia" w:ascii="仿宋_GB2312" w:eastAsia="仿宋_GB2312"/>
          <w:sz w:val="28"/>
          <w:szCs w:val="28"/>
          <w:lang w:val="en-US" w:eastAsia="zh-CN"/>
        </w:rPr>
        <w:t>7.11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3812.83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325.57</w:t>
      </w:r>
      <w:r>
        <w:rPr>
          <w:rFonts w:hint="eastAsia" w:ascii="仿宋_GB2312" w:eastAsia="仿宋_GB2312"/>
          <w:sz w:val="28"/>
          <w:szCs w:val="28"/>
        </w:rPr>
        <w:t>万元，增长</w:t>
      </w:r>
      <w:r>
        <w:rPr>
          <w:rFonts w:hint="eastAsia" w:ascii="仿宋_GB2312" w:eastAsia="仿宋_GB2312"/>
          <w:sz w:val="28"/>
          <w:szCs w:val="28"/>
          <w:lang w:val="en-US" w:eastAsia="zh-CN"/>
        </w:rPr>
        <w:t>9.34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3738.77</w:t>
      </w:r>
      <w:r>
        <w:rPr>
          <w:rFonts w:hint="eastAsia" w:ascii="仿宋_GB2312" w:eastAsia="仿宋_GB2312"/>
          <w:sz w:val="28"/>
          <w:szCs w:val="28"/>
        </w:rPr>
        <w:t>万元，占收入合计的</w:t>
      </w:r>
      <w:r>
        <w:rPr>
          <w:rFonts w:hint="eastAsia" w:ascii="仿宋_GB2312" w:eastAsia="仿宋_GB2312"/>
          <w:sz w:val="28"/>
          <w:szCs w:val="28"/>
          <w:lang w:eastAsia="zh-CN"/>
        </w:rPr>
        <w:t>98.06%。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3738.77</w:t>
      </w:r>
      <w:r>
        <w:rPr>
          <w:rFonts w:hint="eastAsia" w:ascii="仿宋_GB2312" w:eastAsia="仿宋_GB2312"/>
          <w:sz w:val="28"/>
          <w:szCs w:val="28"/>
        </w:rPr>
        <w:t>万元，占收入合计的</w:t>
      </w:r>
      <w:r>
        <w:rPr>
          <w:rFonts w:hint="eastAsia" w:ascii="仿宋_GB2312" w:eastAsia="仿宋_GB2312"/>
          <w:sz w:val="28"/>
          <w:szCs w:val="28"/>
          <w:lang w:eastAsia="zh-CN"/>
        </w:rPr>
        <w:t>98.06</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74.06</w:t>
      </w:r>
      <w:r>
        <w:rPr>
          <w:rFonts w:hint="eastAsia" w:ascii="仿宋_GB2312" w:eastAsia="仿宋_GB2312"/>
          <w:sz w:val="28"/>
          <w:szCs w:val="28"/>
        </w:rPr>
        <w:t>万元，占收入合计的</w:t>
      </w:r>
      <w:r>
        <w:rPr>
          <w:rFonts w:hint="eastAsia" w:ascii="仿宋_GB2312" w:eastAsia="仿宋_GB2312"/>
          <w:sz w:val="28"/>
          <w:szCs w:val="28"/>
          <w:lang w:eastAsia="zh-CN"/>
        </w:rPr>
        <w:t>1.94</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3617.98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273.59</w:t>
      </w:r>
      <w:r>
        <w:rPr>
          <w:rFonts w:hint="eastAsia" w:ascii="仿宋_GB2312" w:eastAsia="仿宋_GB2312"/>
          <w:sz w:val="28"/>
          <w:szCs w:val="28"/>
        </w:rPr>
        <w:t>万元，增长</w:t>
      </w:r>
      <w:r>
        <w:rPr>
          <w:rFonts w:hint="eastAsia" w:ascii="仿宋_GB2312" w:eastAsia="仿宋_GB2312"/>
          <w:sz w:val="28"/>
          <w:szCs w:val="28"/>
          <w:lang w:val="en-US" w:eastAsia="zh-CN"/>
        </w:rPr>
        <w:t>8.18</w:t>
      </w:r>
      <w:r>
        <w:rPr>
          <w:rFonts w:hint="eastAsia" w:ascii="仿宋_GB2312" w:eastAsia="仿宋_GB2312"/>
          <w:sz w:val="28"/>
          <w:szCs w:val="28"/>
        </w:rPr>
        <w:t>%，其中：基本支出</w:t>
      </w:r>
      <w:r>
        <w:rPr>
          <w:rFonts w:ascii="仿宋_GB2312" w:eastAsia="仿宋_GB2312"/>
          <w:sz w:val="28"/>
          <w:szCs w:val="28"/>
        </w:rPr>
        <w:t>2640.97</w:t>
      </w:r>
      <w:r>
        <w:rPr>
          <w:rFonts w:hint="eastAsia" w:ascii="仿宋_GB2312" w:eastAsia="仿宋_GB2312"/>
          <w:sz w:val="28"/>
          <w:szCs w:val="28"/>
        </w:rPr>
        <w:t>万元，占支出合计的</w:t>
      </w:r>
      <w:r>
        <w:rPr>
          <w:rFonts w:hint="eastAsia" w:ascii="仿宋_GB2312" w:eastAsia="仿宋_GB2312"/>
          <w:sz w:val="28"/>
          <w:szCs w:val="28"/>
          <w:lang w:eastAsia="zh-CN"/>
        </w:rPr>
        <w:t>73</w:t>
      </w:r>
      <w:r>
        <w:rPr>
          <w:rFonts w:hint="eastAsia" w:ascii="仿宋_GB2312" w:eastAsia="仿宋_GB2312"/>
          <w:sz w:val="28"/>
          <w:szCs w:val="28"/>
        </w:rPr>
        <w:t>%；项目支出</w:t>
      </w:r>
      <w:r>
        <w:rPr>
          <w:rFonts w:ascii="仿宋_GB2312" w:eastAsia="仿宋_GB2312"/>
          <w:sz w:val="28"/>
          <w:szCs w:val="28"/>
        </w:rPr>
        <w:t>977.01</w:t>
      </w:r>
      <w:r>
        <w:rPr>
          <w:rFonts w:hint="eastAsia" w:ascii="仿宋_GB2312" w:eastAsia="仿宋_GB2312"/>
          <w:sz w:val="28"/>
          <w:szCs w:val="28"/>
        </w:rPr>
        <w:t>万元，占支出合计的</w:t>
      </w:r>
      <w:r>
        <w:rPr>
          <w:rFonts w:hint="eastAsia" w:ascii="仿宋_GB2312" w:eastAsia="仿宋_GB2312"/>
          <w:sz w:val="28"/>
          <w:szCs w:val="28"/>
          <w:lang w:eastAsia="zh-CN"/>
        </w:rPr>
        <w:t>27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3739.57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400.38</w:t>
      </w:r>
      <w:r>
        <w:rPr>
          <w:rFonts w:hint="eastAsia" w:ascii="仿宋_GB2312" w:eastAsia="仿宋_GB2312"/>
          <w:sz w:val="28"/>
          <w:szCs w:val="28"/>
        </w:rPr>
        <w:t>万元，增长</w:t>
      </w:r>
      <w:r>
        <w:rPr>
          <w:rFonts w:hint="eastAsia" w:ascii="仿宋_GB2312" w:eastAsia="仿宋_GB2312"/>
          <w:sz w:val="28"/>
          <w:szCs w:val="28"/>
          <w:lang w:val="en-US" w:eastAsia="zh-CN"/>
        </w:rPr>
        <w:t>11.99</w:t>
      </w:r>
      <w:r>
        <w:rPr>
          <w:rFonts w:hint="eastAsia" w:ascii="仿宋_GB2312" w:eastAsia="仿宋_GB2312"/>
          <w:sz w:val="28"/>
          <w:szCs w:val="28"/>
        </w:rPr>
        <w:t>%。主要原因：</w:t>
      </w:r>
      <w:r>
        <w:rPr>
          <w:rFonts w:hint="eastAsia" w:ascii="仿宋_GB2312" w:eastAsia="仿宋_GB2312"/>
          <w:sz w:val="28"/>
          <w:szCs w:val="28"/>
          <w:lang w:eastAsia="zh-CN"/>
        </w:rPr>
        <w:t>增加综合保障工作任务。</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3455.51</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0.38</w:t>
      </w:r>
      <w:r>
        <w:rPr>
          <w:rFonts w:hint="eastAsia" w:ascii="仿宋_GB2312" w:eastAsia="仿宋_GB2312"/>
          <w:sz w:val="28"/>
          <w:szCs w:val="28"/>
        </w:rPr>
        <w:t>万元，占本年财政拨款支出0.0</w:t>
      </w:r>
      <w:r>
        <w:rPr>
          <w:rFonts w:hint="eastAsia" w:ascii="仿宋_GB2312" w:eastAsia="仿宋_GB2312"/>
          <w:sz w:val="28"/>
          <w:szCs w:val="28"/>
          <w:lang w:val="en-US" w:eastAsia="zh-CN"/>
        </w:rPr>
        <w:t>0</w:t>
      </w:r>
      <w:r>
        <w:rPr>
          <w:rFonts w:hint="eastAsia" w:ascii="仿宋_GB2312" w:eastAsia="仿宋_GB2312"/>
          <w:sz w:val="28"/>
          <w:szCs w:val="28"/>
        </w:rPr>
        <w:t>%；社会保障和就业支出</w:t>
      </w:r>
      <w:r>
        <w:rPr>
          <w:rFonts w:hint="eastAsia" w:ascii="仿宋_GB2312" w:eastAsia="仿宋_GB2312"/>
          <w:sz w:val="28"/>
          <w:szCs w:val="28"/>
          <w:lang w:val="en-US" w:eastAsia="zh-CN"/>
        </w:rPr>
        <w:t>421.85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12.21</w:t>
      </w:r>
      <w:r>
        <w:rPr>
          <w:rFonts w:hint="eastAsia" w:ascii="仿宋_GB2312" w:eastAsia="仿宋_GB2312"/>
          <w:sz w:val="28"/>
          <w:szCs w:val="28"/>
        </w:rPr>
        <w:t>%；卫生和健康支出</w:t>
      </w:r>
      <w:r>
        <w:rPr>
          <w:rFonts w:hint="eastAsia" w:ascii="仿宋_GB2312" w:eastAsia="仿宋_GB2312"/>
          <w:sz w:val="28"/>
          <w:szCs w:val="28"/>
          <w:lang w:val="en-US" w:eastAsia="zh-CN"/>
        </w:rPr>
        <w:t>78.83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2.28</w:t>
      </w:r>
      <w:r>
        <w:rPr>
          <w:rFonts w:hint="eastAsia" w:ascii="仿宋_GB2312" w:eastAsia="仿宋_GB2312"/>
          <w:sz w:val="28"/>
          <w:szCs w:val="28"/>
        </w:rPr>
        <w:t>%；农林水支出</w:t>
      </w:r>
      <w:r>
        <w:rPr>
          <w:rFonts w:hint="eastAsia" w:ascii="仿宋_GB2312" w:eastAsia="仿宋_GB2312"/>
          <w:sz w:val="28"/>
          <w:szCs w:val="28"/>
          <w:lang w:val="en-US" w:eastAsia="zh-CN"/>
        </w:rPr>
        <w:t>3116.92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90.2</w:t>
      </w:r>
      <w:r>
        <w:rPr>
          <w:rFonts w:hint="eastAsia" w:ascii="仿宋_GB2312" w:eastAsia="仿宋_GB2312"/>
          <w:sz w:val="28"/>
          <w:szCs w:val="28"/>
        </w:rPr>
        <w:t>%。。</w:t>
      </w:r>
    </w:p>
    <w:p>
      <w:pPr>
        <w:numPr>
          <w:ilvl w:val="0"/>
          <w:numId w:val="1"/>
        </w:num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rPr>
        <w:t>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17.76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17.76</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落实政府过紧日子的要求，厉行勤俭节约，压缩培训成本</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2、“社会保障和就业支出”(类)2024年度年初预算457.69万元，2024年度决算421.85万元，完成年初预算的92.17%。</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其中：</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“行政事业单位养老支出”（款）2024年度年初预算457.69万元，2024年度决算421.85万元，完成年初预算的92.17%。主要原因：</w:t>
      </w:r>
      <w:r>
        <w:rPr>
          <w:rFonts w:hint="eastAsia" w:ascii="仿宋_GB2312" w:eastAsia="仿宋_GB2312"/>
          <w:sz w:val="28"/>
          <w:szCs w:val="28"/>
          <w:lang w:eastAsia="zh-CN"/>
        </w:rPr>
        <w:t>按照实际缴费情况缴纳职工基本养老保险和职业年金。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3、“卫生和健康支出”(类)2024年度年初预算94.1万元，2024年度决算78.83万元，完成年初预算的83.77%。其中：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“行政事业单位医疗”（款）2024年度年初预算94.1万元，2024年度决算78.83万元，完成年初预算的83.77%。主要原因：</w:t>
      </w:r>
      <w:r>
        <w:rPr>
          <w:rFonts w:hint="eastAsia" w:ascii="仿宋_GB2312" w:eastAsia="仿宋_GB2312"/>
          <w:sz w:val="28"/>
          <w:szCs w:val="28"/>
          <w:lang w:eastAsia="zh-CN"/>
        </w:rPr>
        <w:t>按照实际缴费情况缴纳职工医疗保险</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4、“农林水支出”(类)2024年度年初预算3338.17万元，2024年度决算3116.92万元，完成年初预算的93.37%。其中：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“农业农村”（款）2024年度年初预算3338.17万元</w:t>
      </w:r>
      <w:r>
        <w:rPr>
          <w:rFonts w:hint="default" w:ascii="仿宋_GB2312" w:eastAsia="仿宋_GB2312"/>
          <w:sz w:val="28"/>
          <w:szCs w:val="28"/>
          <w:lang w:val="en" w:eastAsia="zh-CN"/>
        </w:rPr>
        <w:t>,</w:t>
      </w:r>
      <w:r>
        <w:rPr>
          <w:rFonts w:hint="eastAsia" w:ascii="仿宋_GB2312" w:eastAsia="仿宋_GB2312"/>
          <w:sz w:val="28"/>
          <w:szCs w:val="28"/>
          <w:lang w:val="en-US" w:eastAsia="zh-CN"/>
        </w:rPr>
        <w:t>2024年度决算3116.92万元，完成年初预算的93.37%。主要原因：落实政府过紧日子的要求，压减和严控一般性支出。</w:t>
      </w:r>
    </w:p>
    <w:p>
      <w:pPr>
        <w:pStyle w:val="2"/>
        <w:rPr>
          <w:rFonts w:hint="eastAsia"/>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2603.34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8.89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15</w:t>
      </w:r>
      <w:r>
        <w:rPr>
          <w:rFonts w:hint="eastAsia" w:ascii="仿宋_GB2312" w:eastAsia="仿宋_GB2312"/>
          <w:sz w:val="28"/>
          <w:szCs w:val="28"/>
        </w:rPr>
        <w:t>万元减少</w:t>
      </w:r>
      <w:r>
        <w:rPr>
          <w:rFonts w:ascii="仿宋_GB2312" w:eastAsia="仿宋_GB2312"/>
          <w:sz w:val="28"/>
          <w:szCs w:val="28"/>
        </w:rPr>
        <w:t>6.11</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p>
    <w:p>
      <w:pPr>
        <w:keepNext w:val="0"/>
        <w:keepLines w:val="0"/>
        <w:widowControl/>
        <w:suppressLineNumbers w:val="0"/>
        <w:jc w:val="left"/>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8.89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15</w:t>
      </w:r>
      <w:r>
        <w:rPr>
          <w:rFonts w:hint="eastAsia" w:ascii="仿宋_GB2312" w:eastAsia="仿宋_GB2312"/>
          <w:sz w:val="28"/>
          <w:szCs w:val="28"/>
        </w:rPr>
        <w:t>万元减少</w:t>
      </w:r>
      <w:r>
        <w:rPr>
          <w:rFonts w:ascii="仿宋_GB2312" w:eastAsia="仿宋_GB2312"/>
          <w:sz w:val="28"/>
          <w:szCs w:val="28"/>
        </w:rPr>
        <w:t>6.11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8.89</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落实政府过紧日子的要求，厉行勤俭节约，严控公务用车运维护费。</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496.85</w:t>
      </w:r>
      <w:r>
        <w:rPr>
          <w:rFonts w:hint="eastAsia" w:ascii="仿宋_GB2312" w:eastAsia="仿宋_GB2312"/>
          <w:sz w:val="28"/>
          <w:szCs w:val="28"/>
        </w:rPr>
        <w:t>万元，其中：政府采购货物支出</w:t>
      </w:r>
      <w:r>
        <w:rPr>
          <w:rFonts w:ascii="仿宋_GB2312" w:eastAsia="仿宋_GB2312"/>
          <w:sz w:val="28"/>
          <w:szCs w:val="28"/>
        </w:rPr>
        <w:t>1.15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495.7</w:t>
      </w:r>
      <w:r>
        <w:rPr>
          <w:rFonts w:hint="eastAsia" w:ascii="仿宋_GB2312" w:eastAsia="仿宋_GB2312"/>
          <w:sz w:val="28"/>
          <w:szCs w:val="28"/>
        </w:rPr>
        <w:t>万元。授予中小企业合同金额</w:t>
      </w:r>
      <w:r>
        <w:rPr>
          <w:rFonts w:ascii="仿宋_GB2312" w:eastAsia="仿宋_GB2312"/>
          <w:sz w:val="28"/>
          <w:szCs w:val="28"/>
        </w:rPr>
        <w:t>460.5</w:t>
      </w:r>
      <w:r>
        <w:rPr>
          <w:rFonts w:hint="eastAsia" w:ascii="仿宋_GB2312" w:eastAsia="仿宋_GB2312"/>
          <w:sz w:val="28"/>
          <w:szCs w:val="28"/>
        </w:rPr>
        <w:t>万元，占政府采购支出总额的</w:t>
      </w:r>
      <w:r>
        <w:rPr>
          <w:rFonts w:hint="eastAsia" w:ascii="仿宋_GB2312" w:eastAsia="仿宋_GB2312"/>
          <w:sz w:val="28"/>
          <w:szCs w:val="28"/>
          <w:lang w:eastAsia="zh-CN"/>
        </w:rPr>
        <w:t>92.68</w:t>
      </w:r>
      <w:r>
        <w:rPr>
          <w:rFonts w:hint="eastAsia" w:ascii="仿宋_GB2312" w:eastAsia="仿宋_GB2312"/>
          <w:sz w:val="28"/>
          <w:szCs w:val="28"/>
        </w:rPr>
        <w:t>%，其中：授予小微企业合同金额</w:t>
      </w:r>
      <w:r>
        <w:rPr>
          <w:rFonts w:ascii="仿宋_GB2312" w:eastAsia="仿宋_GB2312"/>
          <w:sz w:val="28"/>
          <w:szCs w:val="28"/>
        </w:rPr>
        <w:t>260.62</w:t>
      </w:r>
      <w:r>
        <w:rPr>
          <w:rFonts w:hint="eastAsia" w:ascii="仿宋_GB2312" w:eastAsia="仿宋_GB2312"/>
          <w:sz w:val="28"/>
          <w:szCs w:val="28"/>
        </w:rPr>
        <w:t>万元，占政府采购支出总额的</w:t>
      </w:r>
      <w:r>
        <w:rPr>
          <w:rFonts w:ascii="仿宋_GB2312" w:eastAsia="仿宋_GB2312"/>
          <w:sz w:val="28"/>
          <w:szCs w:val="28"/>
        </w:rPr>
        <w:t>52.45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12月31日，中共北京市委农村工作委员会北京市农业农村局综合事务中心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7</w:t>
      </w:r>
      <w:r>
        <w:rPr>
          <w:rFonts w:hint="eastAsia" w:ascii="仿宋_GB2312" w:hAnsi="宋体" w:eastAsia="仿宋_GB2312"/>
          <w:sz w:val="28"/>
          <w:szCs w:val="28"/>
          <w:lang w:val="en-US" w:eastAsia="zh-CN"/>
        </w:rPr>
        <w:t>.</w:t>
      </w:r>
      <w:r>
        <w:rPr>
          <w:rFonts w:hint="eastAsia" w:ascii="仿宋_GB2312" w:hAnsi="宋体" w:eastAsia="仿宋_GB2312"/>
          <w:sz w:val="28"/>
          <w:szCs w:val="28"/>
        </w:rPr>
        <w:t>农林水支出（类）农业农村（款）事业运行：反映用于农业事业单位基本支出，事业单位设施、系统运行与资产维护等方面的支出。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8.</w:t>
      </w:r>
      <w:r>
        <w:rPr>
          <w:rFonts w:hint="default" w:ascii="仿宋_GB2312" w:hAnsi="宋体" w:eastAsia="仿宋_GB2312"/>
          <w:sz w:val="28"/>
          <w:szCs w:val="28"/>
          <w:lang w:val="en" w:eastAsia="zh-CN"/>
        </w:rPr>
        <w:t>社会保障和就业支出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行政事业单位养老支出（款）事业单位离退休</w:t>
      </w:r>
      <w:r>
        <w:rPr>
          <w:rFonts w:hint="eastAsia" w:ascii="仿宋_GB2312" w:hAnsi="宋体" w:eastAsia="仿宋_GB2312"/>
          <w:sz w:val="28"/>
          <w:szCs w:val="28"/>
          <w:lang w:val="en" w:eastAsia="zh-CN"/>
        </w:rPr>
        <w:t>（项）</w:t>
      </w:r>
      <w:r>
        <w:rPr>
          <w:rFonts w:hint="eastAsia" w:ascii="仿宋_GB2312" w:hAnsi="宋体" w:eastAsia="仿宋_GB2312"/>
          <w:sz w:val="28"/>
          <w:szCs w:val="28"/>
          <w:lang w:val="en-US" w:eastAsia="zh-CN"/>
        </w:rPr>
        <w:t>：反映事业单位开支的离退休经费。</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9.</w:t>
      </w:r>
      <w:r>
        <w:rPr>
          <w:rFonts w:hint="default" w:ascii="仿宋_GB2312" w:hAnsi="宋体" w:eastAsia="仿宋_GB2312"/>
          <w:sz w:val="28"/>
          <w:szCs w:val="28"/>
          <w:lang w:val="en-US" w:eastAsia="zh-CN"/>
        </w:rPr>
        <w:t>卫生健康支出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行政事业单位医疗（款）事业单位医疗</w:t>
      </w:r>
      <w:r>
        <w:rPr>
          <w:rFonts w:hint="eastAsia" w:ascii="仿宋_GB2312" w:hAnsi="宋体" w:eastAsia="仿宋_GB2312"/>
          <w:sz w:val="28"/>
          <w:szCs w:val="28"/>
          <w:lang w:val="en" w:eastAsia="zh-CN"/>
        </w:rPr>
        <w:t>（项）</w:t>
      </w:r>
      <w:r>
        <w:rPr>
          <w:rFonts w:hint="eastAsia" w:ascii="仿宋_GB2312" w:hAnsi="宋体" w:eastAsia="仿宋_GB2312"/>
          <w:sz w:val="28"/>
          <w:szCs w:val="28"/>
          <w:lang w:val="en-US" w:eastAsia="zh-CN"/>
        </w:rPr>
        <w:t>：反映财政部门安排的事业单位基本医疗保险缴费经费，未参加医疗保险的事业单位的公费医疗经费，按国家规定享受离休人员待遇的医疗经费。</w:t>
      </w:r>
    </w:p>
    <w:p>
      <w:pPr>
        <w:ind w:firstLine="560" w:firstLineChars="200"/>
        <w:rPr>
          <w:rFonts w:hint="default" w:ascii="仿宋_GB2312" w:hAnsi="宋体" w:eastAsia="仿宋_GB2312"/>
          <w:sz w:val="28"/>
          <w:szCs w:val="28"/>
          <w:lang w:val="en" w:eastAsia="zh-CN"/>
        </w:rPr>
      </w:pPr>
      <w:r>
        <w:rPr>
          <w:rFonts w:hint="eastAsia" w:ascii="仿宋_GB2312" w:hAnsi="宋体" w:eastAsia="仿宋_GB2312"/>
          <w:sz w:val="28"/>
          <w:szCs w:val="28"/>
          <w:lang w:val="en-US" w:eastAsia="zh-CN"/>
        </w:rPr>
        <w:t>10.</w:t>
      </w:r>
      <w:r>
        <w:rPr>
          <w:rFonts w:hint="default" w:ascii="仿宋_GB2312" w:hAnsi="宋体" w:eastAsia="仿宋_GB2312"/>
          <w:sz w:val="28"/>
          <w:szCs w:val="28"/>
          <w:lang w:val="en" w:eastAsia="zh-CN"/>
        </w:rPr>
        <w:t>教育支出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进修及培训（款）</w:t>
      </w:r>
      <w:r>
        <w:rPr>
          <w:rFonts w:hint="default" w:ascii="仿宋_GB2312" w:hAnsi="宋体" w:eastAsia="仿宋_GB2312"/>
          <w:sz w:val="28"/>
          <w:szCs w:val="28"/>
          <w:lang w:val="en" w:eastAsia="zh-CN"/>
        </w:rPr>
        <w:t>培训支出</w:t>
      </w:r>
      <w:r>
        <w:rPr>
          <w:rFonts w:hint="eastAsia" w:ascii="仿宋_GB2312" w:hAnsi="宋体" w:eastAsia="仿宋_GB2312"/>
          <w:sz w:val="28"/>
          <w:szCs w:val="28"/>
          <w:lang w:val="en" w:eastAsia="zh-CN"/>
        </w:rPr>
        <w:t>（项）：反映各部门安排的用于培训的支出。</w:t>
      </w:r>
    </w:p>
    <w:p>
      <w:pPr>
        <w:ind w:firstLine="560" w:firstLineChars="200"/>
        <w:rPr>
          <w:rFonts w:hint="eastAsia" w:ascii="仿宋_GB2312" w:hAnsi="宋体" w:eastAsia="仿宋_GB2312"/>
          <w:sz w:val="28"/>
          <w:szCs w:val="28"/>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28"/>
          <w:szCs w:val="28"/>
          <w:highlight w:val="yellow"/>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sans-serif">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BED25E"/>
    <w:multiLevelType w:val="singleLevel"/>
    <w:tmpl w:val="39BED25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0FFB785E"/>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BDFEEAC"/>
    <w:rsid w:val="3BECB589"/>
    <w:rsid w:val="3C684897"/>
    <w:rsid w:val="433E495C"/>
    <w:rsid w:val="47BB2C2F"/>
    <w:rsid w:val="489F2FD7"/>
    <w:rsid w:val="4AC27CB3"/>
    <w:rsid w:val="4BF72BEF"/>
    <w:rsid w:val="4F63267A"/>
    <w:rsid w:val="4FA90297"/>
    <w:rsid w:val="4FC41A43"/>
    <w:rsid w:val="51DB3C59"/>
    <w:rsid w:val="550C0952"/>
    <w:rsid w:val="55762E42"/>
    <w:rsid w:val="57A7B272"/>
    <w:rsid w:val="58470068"/>
    <w:rsid w:val="58747CAC"/>
    <w:rsid w:val="5A1720F9"/>
    <w:rsid w:val="5B7B3CD7"/>
    <w:rsid w:val="5B9C37C2"/>
    <w:rsid w:val="5BA7C654"/>
    <w:rsid w:val="5DDE9861"/>
    <w:rsid w:val="5F769042"/>
    <w:rsid w:val="5F9FF949"/>
    <w:rsid w:val="60A54109"/>
    <w:rsid w:val="61D01CDF"/>
    <w:rsid w:val="64C0607C"/>
    <w:rsid w:val="65756C86"/>
    <w:rsid w:val="65FBD61D"/>
    <w:rsid w:val="674D385B"/>
    <w:rsid w:val="676F09E1"/>
    <w:rsid w:val="6BEFCBB5"/>
    <w:rsid w:val="6C7F5EB4"/>
    <w:rsid w:val="6DF722EF"/>
    <w:rsid w:val="6E9FA543"/>
    <w:rsid w:val="6F3BA670"/>
    <w:rsid w:val="6FDB306F"/>
    <w:rsid w:val="6FDF3E79"/>
    <w:rsid w:val="6FFBF49A"/>
    <w:rsid w:val="71793A80"/>
    <w:rsid w:val="71F5E854"/>
    <w:rsid w:val="7357290B"/>
    <w:rsid w:val="76EBC28F"/>
    <w:rsid w:val="77BB99FB"/>
    <w:rsid w:val="77CEC13A"/>
    <w:rsid w:val="798524E4"/>
    <w:rsid w:val="7A7F1C49"/>
    <w:rsid w:val="7B5B7AE6"/>
    <w:rsid w:val="7B7B6628"/>
    <w:rsid w:val="7BA7071E"/>
    <w:rsid w:val="7BDF6DA8"/>
    <w:rsid w:val="7C7EDC1A"/>
    <w:rsid w:val="7CCED98D"/>
    <w:rsid w:val="7D08410F"/>
    <w:rsid w:val="7DB96DED"/>
    <w:rsid w:val="7DD3AD81"/>
    <w:rsid w:val="7F7FE70F"/>
    <w:rsid w:val="7FCFAD82"/>
    <w:rsid w:val="7FF765BD"/>
    <w:rsid w:val="7FFED0ED"/>
    <w:rsid w:val="7FFF772F"/>
    <w:rsid w:val="85FE26B1"/>
    <w:rsid w:val="95F35EF6"/>
    <w:rsid w:val="97E3DF85"/>
    <w:rsid w:val="9B9680D3"/>
    <w:rsid w:val="9BFFD860"/>
    <w:rsid w:val="9F8DB73E"/>
    <w:rsid w:val="AC5F73DE"/>
    <w:rsid w:val="B5DDD2C8"/>
    <w:rsid w:val="B96F3CF4"/>
    <w:rsid w:val="B9DFABD9"/>
    <w:rsid w:val="BC0D83FC"/>
    <w:rsid w:val="BCDF27A2"/>
    <w:rsid w:val="BED3D61D"/>
    <w:rsid w:val="BF3BDEFB"/>
    <w:rsid w:val="BFFC54C0"/>
    <w:rsid w:val="C75F6086"/>
    <w:rsid w:val="C7F7ED2D"/>
    <w:rsid w:val="CFAF854E"/>
    <w:rsid w:val="D552A586"/>
    <w:rsid w:val="D8D7928E"/>
    <w:rsid w:val="D8F751A9"/>
    <w:rsid w:val="D8FE3136"/>
    <w:rsid w:val="DBBD4141"/>
    <w:rsid w:val="DDDE60B7"/>
    <w:rsid w:val="DE9F6A22"/>
    <w:rsid w:val="DF4FCE6A"/>
    <w:rsid w:val="DFFF6925"/>
    <w:rsid w:val="E1CDA4CA"/>
    <w:rsid w:val="E4FED278"/>
    <w:rsid w:val="E6BF6E02"/>
    <w:rsid w:val="E7FF96FC"/>
    <w:rsid w:val="EDAA365C"/>
    <w:rsid w:val="EDADFC12"/>
    <w:rsid w:val="EDFC8CD2"/>
    <w:rsid w:val="EF6F73BE"/>
    <w:rsid w:val="F2FD229B"/>
    <w:rsid w:val="F4B52775"/>
    <w:rsid w:val="F5DEAD3C"/>
    <w:rsid w:val="F66FDF32"/>
    <w:rsid w:val="F74616FE"/>
    <w:rsid w:val="F7AD09BF"/>
    <w:rsid w:val="F7CDB9EB"/>
    <w:rsid w:val="F7F709E9"/>
    <w:rsid w:val="F7FF3690"/>
    <w:rsid w:val="F9BD3900"/>
    <w:rsid w:val="FC8B9876"/>
    <w:rsid w:val="FDDFEB8D"/>
    <w:rsid w:val="FDFCDBDC"/>
    <w:rsid w:val="FDFFED9D"/>
    <w:rsid w:val="FEDFF218"/>
    <w:rsid w:val="FEDFFFFF"/>
    <w:rsid w:val="FEFBE24D"/>
    <w:rsid w:val="FF8C4179"/>
    <w:rsid w:val="FF9F617F"/>
    <w:rsid w:val="FFBEAE58"/>
    <w:rsid w:val="FFC77B27"/>
    <w:rsid w:val="FFF70CDA"/>
    <w:rsid w:val="FFFB3788"/>
    <w:rsid w:val="FFFB506B"/>
    <w:rsid w:val="FFFF6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1"/>
              <c:delete val="true"/>
            </c:dLbl>
            <c:dLbl>
              <c:idx val="2"/>
              <c:delete val="true"/>
            </c:dLbl>
            <c:dLbl>
              <c:idx val="3"/>
              <c:delete val="true"/>
            </c:dLbl>
            <c:dLbl>
              <c:idx val="4"/>
              <c:delete val="true"/>
            </c:dLbl>
            <c:dLbl>
              <c:idx val="5"/>
              <c:layout>
                <c:manualLayout>
                  <c:x val="-0.128971834473122"/>
                  <c:y val="-0.0141683917506824"/>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3738.77</c:v>
                </c:pt>
                <c:pt idx="1">
                  <c:v>0</c:v>
                </c:pt>
                <c:pt idx="2">
                  <c:v>0</c:v>
                </c:pt>
                <c:pt idx="3">
                  <c:v>0</c:v>
                </c:pt>
                <c:pt idx="4">
                  <c:v>0</c:v>
                </c:pt>
                <c:pt idx="5">
                  <c:v>74.06</c:v>
                </c:pt>
              </c:numCache>
            </c:numRef>
          </c:val>
        </c:ser>
        <c:dLbls>
          <c:showLegendKey val="false"/>
          <c:showVal val="true"/>
          <c:showCatName val="false"/>
          <c:showSerName val="false"/>
          <c:showPercent val="false"/>
          <c:showBubbleSize val="false"/>
          <c:showLeaderLines val="true"/>
        </c:dLbls>
        <c:firstSliceAng val="0"/>
      </c:pieChart>
    </c:plotArea>
    <c:legend>
      <c:legendPos val="r"/>
      <c:legendEntry>
        <c:idx val="1"/>
        <c:delete val="true"/>
      </c:legendEntry>
      <c:legendEntry>
        <c:idx val="2"/>
        <c:delete val="true"/>
      </c:legendEntry>
      <c:legendEntry>
        <c:idx val="3"/>
        <c:delete val="true"/>
      </c:legendEntry>
      <c:legendEntry>
        <c:idx val="4"/>
        <c:delete val="true"/>
      </c:legendEntry>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2640.97</c:v>
                </c:pt>
                <c:pt idx="1">
                  <c:v>977.01</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delete val="true"/>
      </c:legendEntry>
      <c:legendEntry>
        <c:idx val="3"/>
        <c:delete val="true"/>
      </c:legendEntry>
      <c:legendEntry>
        <c:idx val="4"/>
        <c:delete val="true"/>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1</TotalTime>
  <ScaleCrop>false</ScaleCrop>
  <LinksUpToDate>false</LinksUpToDate>
  <CharactersWithSpaces>5802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nyncj</cp:lastModifiedBy>
  <cp:lastPrinted>2020-08-09T19:39:00Z</cp:lastPrinted>
  <dcterms:modified xsi:type="dcterms:W3CDTF">2025-09-08T09:15:05Z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