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ind w:left="105" w:leftChars="50" w:firstLine="640" w:firstLineChars="200"/>
        <w:rPr>
          <w:rFonts w:hint="eastAsia" w:ascii="楷体_GB2312" w:eastAsia="楷体_GB2312"/>
          <w:color w:val="000000"/>
          <w:sz w:val="28"/>
          <w:szCs w:val="28"/>
          <w:u w:val="none"/>
        </w:rPr>
      </w:pPr>
      <w:r>
        <w:rPr>
          <w:rFonts w:hint="eastAsia" w:ascii="楷体_GB2312" w:eastAsia="楷体_GB2312"/>
          <w:color w:val="000000"/>
          <w:sz w:val="28"/>
          <w:szCs w:val="28"/>
          <w:u w:val="none"/>
        </w:rPr>
        <w:t>（一）本单位性质、职责等情况</w:t>
      </w:r>
    </w:p>
    <w:p>
      <w:pPr>
        <w:ind w:left="105" w:leftChars="50" w:firstLine="640" w:firstLineChars="200"/>
        <w:rPr>
          <w:rFonts w:hint="eastAsia" w:ascii="仿宋_GB2312" w:eastAsia="仿宋_GB2312"/>
          <w:sz w:val="28"/>
          <w:szCs w:val="28"/>
        </w:rPr>
      </w:pPr>
      <w:r>
        <w:rPr>
          <w:rFonts w:hint="eastAsia" w:ascii="仿宋_GB2312" w:eastAsia="仿宋_GB2312" w:cs="Segoe UI"/>
          <w:color w:val="242931"/>
          <w:sz w:val="28"/>
          <w:szCs w:val="28"/>
          <w:shd w:val="clear" w:color="auto" w:fill="FFFFFF"/>
        </w:rPr>
        <w:t>本单位为北京市农业农村局所属公益一类全额拨款事业单位。</w:t>
      </w:r>
      <w:r>
        <w:rPr>
          <w:rFonts w:hint="eastAsia" w:ascii="仿宋_GB2312" w:eastAsia="仿宋_GB2312"/>
          <w:sz w:val="28"/>
          <w:szCs w:val="28"/>
        </w:rPr>
        <w:t>单位主要职责：</w:t>
      </w:r>
      <w:r>
        <w:rPr>
          <w:rFonts w:hint="eastAsia" w:ascii="仿宋_GB2312" w:hAnsi="仿宋" w:eastAsia="仿宋_GB2312"/>
          <w:color w:val="000000"/>
          <w:sz w:val="28"/>
          <w:szCs w:val="28"/>
        </w:rPr>
        <w:t>承担本市动物疫病预防、控制</w:t>
      </w:r>
      <w:r>
        <w:rPr>
          <w:rFonts w:hint="eastAsia" w:ascii="仿宋_GB2312" w:hAnsi="仿宋" w:eastAsia="仿宋_GB2312"/>
          <w:color w:val="000000"/>
          <w:sz w:val="28"/>
          <w:szCs w:val="28"/>
          <w:lang w:eastAsia="zh-CN"/>
        </w:rPr>
        <w:t>、净化、消</w:t>
      </w:r>
      <w:r>
        <w:rPr>
          <w:rFonts w:hint="eastAsia" w:ascii="仿宋_GB2312" w:hAnsi="仿宋" w:eastAsia="仿宋_GB2312"/>
          <w:color w:val="000000"/>
          <w:sz w:val="28"/>
          <w:szCs w:val="28"/>
        </w:rPr>
        <w:t>灭等技术工作</w:t>
      </w:r>
      <w:r>
        <w:rPr>
          <w:rFonts w:hint="eastAsia" w:ascii="仿宋_GB2312" w:hAnsi="仿宋" w:eastAsia="仿宋_GB2312"/>
          <w:color w:val="000000"/>
          <w:sz w:val="28"/>
          <w:szCs w:val="28"/>
          <w:lang w:eastAsia="zh-CN"/>
        </w:rPr>
        <w:t>以及相关技术推广工作</w:t>
      </w:r>
      <w:r>
        <w:rPr>
          <w:rFonts w:hint="eastAsia" w:ascii="仿宋_GB2312" w:hAnsi="仿宋" w:eastAsia="仿宋_GB2312"/>
          <w:color w:val="000000"/>
          <w:sz w:val="28"/>
          <w:szCs w:val="28"/>
        </w:rPr>
        <w:t>，</w:t>
      </w:r>
      <w:r>
        <w:rPr>
          <w:rFonts w:hint="eastAsia" w:ascii="仿宋_GB2312" w:hAnsi="仿宋" w:eastAsia="仿宋_GB2312"/>
          <w:color w:val="000000"/>
          <w:sz w:val="28"/>
          <w:szCs w:val="28"/>
          <w:lang w:eastAsia="zh-CN"/>
        </w:rPr>
        <w:t>指导各区相关业务工作；承担兽医医政、兽药药政、动物防疫、畜禽屠宰管理的技术性、辅助性、事务性工作；承办机关交办的其他事项。</w:t>
      </w:r>
    </w:p>
    <w:p>
      <w:pPr>
        <w:spacing w:line="560" w:lineRule="exact"/>
        <w:ind w:firstLine="0" w:firstLineChars="0"/>
        <w:rPr>
          <w:rFonts w:hint="eastAsia" w:ascii="楷体_GB2312" w:eastAsia="楷体_GB2312"/>
          <w:color w:val="000000"/>
          <w:sz w:val="28"/>
          <w:szCs w:val="28"/>
          <w:u w:val="none"/>
        </w:rPr>
      </w:pPr>
      <w:r>
        <w:rPr>
          <w:rFonts w:hint="eastAsia" w:ascii="楷体_GB2312" w:eastAsia="楷体_GB2312"/>
          <w:color w:val="000000"/>
          <w:sz w:val="32"/>
          <w:szCs w:val="32"/>
          <w:u w:val="none"/>
          <w:lang w:val="en-US" w:eastAsia="zh-CN"/>
        </w:rPr>
        <w:t xml:space="preserve">    </w:t>
      </w:r>
      <w:r>
        <w:rPr>
          <w:rFonts w:hint="eastAsia" w:ascii="楷体_GB2312" w:eastAsia="楷体_GB2312"/>
          <w:color w:val="000000"/>
          <w:sz w:val="28"/>
          <w:szCs w:val="28"/>
          <w:u w:val="none"/>
        </w:rPr>
        <w:t>（二）机构设置情况</w:t>
      </w:r>
    </w:p>
    <w:p>
      <w:pPr>
        <w:spacing w:line="560" w:lineRule="exact"/>
        <w:ind w:firstLine="0" w:firstLineChars="0"/>
        <w:rPr>
          <w:rFonts w:hint="eastAsia" w:ascii="楷体_GB2312" w:eastAsia="楷体_GB2312"/>
          <w:color w:val="000000"/>
          <w:sz w:val="28"/>
          <w:szCs w:val="28"/>
          <w:u w:val="none"/>
        </w:rPr>
      </w:pPr>
      <w:r>
        <w:rPr>
          <w:rFonts w:hint="eastAsia" w:ascii="楷体_GB2312" w:eastAsia="楷体_GB2312"/>
          <w:color w:val="000000"/>
          <w:sz w:val="32"/>
          <w:szCs w:val="32"/>
          <w:u w:val="none"/>
          <w:lang w:val="en-US" w:eastAsia="zh-CN"/>
        </w:rPr>
        <w:t xml:space="preserve">    </w:t>
      </w:r>
      <w:r>
        <w:rPr>
          <w:rFonts w:hint="eastAsia" w:ascii="仿宋_GB2312" w:eastAsia="仿宋_GB2312"/>
          <w:color w:val="000000"/>
          <w:sz w:val="28"/>
          <w:szCs w:val="28"/>
        </w:rPr>
        <w:t>本单位</w:t>
      </w:r>
      <w:r>
        <w:rPr>
          <w:rFonts w:hint="eastAsia" w:ascii="仿宋_GB2312" w:eastAsia="仿宋_GB2312" w:cs="Segoe UI"/>
          <w:color w:val="242931"/>
          <w:sz w:val="28"/>
          <w:szCs w:val="28"/>
          <w:shd w:val="clear" w:color="auto" w:fill="FFFFFF"/>
        </w:rPr>
        <w:t>内设15个科室，分别是防控科、畜病防治室、禽病防治室、伴侣动物疫病防治室、监测预警科、实验室管理科、血清学检测室、病原学检测室、畜禽屠宰行业指导科、动物诊疗行业指导科、科技科、办公室（党办）、人事科、防疫物资科、后勤保障科。</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5057.97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85.98</w:t>
      </w:r>
      <w:r>
        <w:rPr>
          <w:rFonts w:hint="eastAsia" w:ascii="仿宋_GB2312" w:eastAsia="仿宋_GB2312"/>
          <w:sz w:val="28"/>
          <w:szCs w:val="28"/>
        </w:rPr>
        <w:t>万元，增长</w:t>
      </w:r>
      <w:r>
        <w:rPr>
          <w:rFonts w:hint="eastAsia" w:ascii="仿宋_GB2312" w:eastAsia="仿宋_GB2312"/>
          <w:sz w:val="28"/>
          <w:szCs w:val="28"/>
          <w:lang w:val="en-US" w:eastAsia="zh-CN"/>
        </w:rPr>
        <w:t>1.73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5002.3</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比上年增加增加</w:t>
      </w:r>
      <w:r>
        <w:rPr>
          <w:rFonts w:hint="eastAsia" w:ascii="仿宋_GB2312" w:eastAsia="仿宋_GB2312"/>
          <w:sz w:val="28"/>
          <w:szCs w:val="28"/>
          <w:lang w:val="en-US" w:eastAsia="zh-CN"/>
        </w:rPr>
        <w:t>298.10</w:t>
      </w:r>
      <w:r>
        <w:rPr>
          <w:rFonts w:hint="eastAsia" w:ascii="仿宋_GB2312" w:eastAsia="仿宋_GB2312"/>
          <w:sz w:val="28"/>
          <w:szCs w:val="28"/>
        </w:rPr>
        <w:t>万元，增长</w:t>
      </w:r>
      <w:r>
        <w:rPr>
          <w:rFonts w:hint="eastAsia" w:ascii="仿宋_GB2312" w:eastAsia="仿宋_GB2312"/>
          <w:sz w:val="28"/>
          <w:szCs w:val="28"/>
          <w:lang w:val="en-US" w:eastAsia="zh-CN"/>
        </w:rPr>
        <w:t>6.34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5001.91</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5001.91</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0.39</w:t>
      </w:r>
      <w:r>
        <w:rPr>
          <w:rFonts w:hint="eastAsia" w:ascii="仿宋_GB2312" w:eastAsia="仿宋_GB2312"/>
          <w:sz w:val="28"/>
          <w:szCs w:val="28"/>
        </w:rPr>
        <w:t>万元，占收入合计的</w:t>
      </w:r>
      <w:r>
        <w:rPr>
          <w:rFonts w:hint="eastAsia" w:ascii="仿宋_GB2312" w:eastAsia="仿宋_GB2312"/>
          <w:sz w:val="28"/>
          <w:szCs w:val="28"/>
          <w:lang w:eastAsia="zh-CN"/>
        </w:rPr>
        <w:t>0.01</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bookmarkStart w:id="0" w:name="_GoBack"/>
      <w:r>
        <w:drawing>
          <wp:inline distT="0" distB="0" distL="114300" distR="114300">
            <wp:extent cx="3947160" cy="2392045"/>
            <wp:effectExtent l="5080" t="4445" r="10160" b="1143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bookmarkEnd w:id="0"/>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4869.24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19.81</w:t>
      </w:r>
      <w:r>
        <w:rPr>
          <w:rFonts w:hint="eastAsia" w:ascii="仿宋_GB2312" w:eastAsia="仿宋_GB2312"/>
          <w:sz w:val="28"/>
          <w:szCs w:val="28"/>
        </w:rPr>
        <w:t>万元，下降</w:t>
      </w:r>
      <w:r>
        <w:rPr>
          <w:rFonts w:hint="eastAsia" w:ascii="仿宋_GB2312" w:eastAsia="仿宋_GB2312"/>
          <w:sz w:val="28"/>
          <w:szCs w:val="28"/>
          <w:lang w:val="en-US" w:eastAsia="zh-CN"/>
        </w:rPr>
        <w:t>0.41</w:t>
      </w:r>
      <w:r>
        <w:rPr>
          <w:rFonts w:hint="eastAsia" w:ascii="仿宋_GB2312" w:eastAsia="仿宋_GB2312"/>
          <w:sz w:val="28"/>
          <w:szCs w:val="28"/>
        </w:rPr>
        <w:t>%，其中：基本支出</w:t>
      </w:r>
      <w:r>
        <w:rPr>
          <w:rFonts w:ascii="仿宋_GB2312" w:eastAsia="仿宋_GB2312"/>
          <w:sz w:val="28"/>
          <w:szCs w:val="28"/>
        </w:rPr>
        <w:t>3529.64</w:t>
      </w:r>
      <w:r>
        <w:rPr>
          <w:rFonts w:hint="eastAsia" w:ascii="仿宋_GB2312" w:eastAsia="仿宋_GB2312"/>
          <w:sz w:val="28"/>
          <w:szCs w:val="28"/>
        </w:rPr>
        <w:t>万元，占支出合计的</w:t>
      </w:r>
      <w:r>
        <w:rPr>
          <w:rFonts w:hint="eastAsia" w:ascii="仿宋_GB2312" w:eastAsia="仿宋_GB2312"/>
          <w:sz w:val="28"/>
          <w:szCs w:val="28"/>
          <w:lang w:eastAsia="zh-CN"/>
        </w:rPr>
        <w:t>72.49</w:t>
      </w:r>
      <w:r>
        <w:rPr>
          <w:rFonts w:hint="eastAsia" w:ascii="仿宋_GB2312" w:eastAsia="仿宋_GB2312"/>
          <w:sz w:val="28"/>
          <w:szCs w:val="28"/>
        </w:rPr>
        <w:t>%；项目支出</w:t>
      </w:r>
      <w:r>
        <w:rPr>
          <w:rFonts w:ascii="仿宋_GB2312" w:eastAsia="仿宋_GB2312"/>
          <w:sz w:val="28"/>
          <w:szCs w:val="28"/>
        </w:rPr>
        <w:t>1339.59</w:t>
      </w:r>
      <w:r>
        <w:rPr>
          <w:rFonts w:hint="eastAsia" w:ascii="仿宋_GB2312" w:eastAsia="仿宋_GB2312"/>
          <w:sz w:val="28"/>
          <w:szCs w:val="28"/>
        </w:rPr>
        <w:t>万元，占支出合计的</w:t>
      </w:r>
      <w:r>
        <w:rPr>
          <w:rFonts w:hint="eastAsia" w:ascii="仿宋_GB2312" w:eastAsia="仿宋_GB2312"/>
          <w:sz w:val="28"/>
          <w:szCs w:val="28"/>
          <w:lang w:eastAsia="zh-CN"/>
        </w:rPr>
        <w:t>27.51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5002.16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170.04</w:t>
      </w:r>
      <w:r>
        <w:rPr>
          <w:rFonts w:hint="eastAsia" w:ascii="仿宋_GB2312" w:eastAsia="仿宋_GB2312"/>
          <w:sz w:val="28"/>
          <w:szCs w:val="28"/>
        </w:rPr>
        <w:t>万元，增长</w:t>
      </w:r>
      <w:r>
        <w:rPr>
          <w:rFonts w:hint="eastAsia" w:ascii="仿宋_GB2312" w:eastAsia="仿宋_GB2312"/>
          <w:sz w:val="28"/>
          <w:szCs w:val="28"/>
          <w:lang w:val="en-US" w:eastAsia="zh-CN"/>
        </w:rPr>
        <w:t>3.52%</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落实动物疫病强制免疫政策，保障疫苗供应。</w:t>
      </w:r>
    </w:p>
    <w:p>
      <w:pPr>
        <w:tabs>
          <w:tab w:val="center" w:pos="6979"/>
        </w:tabs>
        <w:spacing w:line="580" w:lineRule="exact"/>
        <w:rPr>
          <w:rFonts w:hint="eastAsia" w:ascii="黑体" w:eastAsia="黑体"/>
          <w:b/>
          <w:sz w:val="28"/>
          <w:szCs w:val="28"/>
        </w:rPr>
      </w:pPr>
      <w:r>
        <w:rPr>
          <w:rFonts w:hint="eastAsia" w:ascii="黑体" w:eastAsia="黑体"/>
          <w:b/>
          <w:sz w:val="28"/>
          <w:szCs w:val="28"/>
          <w:lang w:val="en-US" w:eastAsia="zh-CN"/>
        </w:rPr>
        <w:t xml:space="preserve">    </w:t>
      </w: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4857.7</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w:t>
      </w:r>
      <w:r>
        <w:rPr>
          <w:rFonts w:hint="eastAsia" w:ascii="仿宋_GB2312" w:eastAsia="仿宋_GB2312"/>
          <w:sz w:val="28"/>
          <w:szCs w:val="28"/>
          <w:lang w:eastAsia="zh-CN"/>
        </w:rPr>
        <w:t>：</w:t>
      </w:r>
      <w:r>
        <w:rPr>
          <w:rFonts w:hint="eastAsia" w:ascii="仿宋_GB2312" w:eastAsia="仿宋_GB2312"/>
          <w:sz w:val="28"/>
          <w:szCs w:val="28"/>
        </w:rPr>
        <w:t>教育支出</w:t>
      </w:r>
      <w:r>
        <w:rPr>
          <w:rFonts w:hint="eastAsia" w:ascii="仿宋_GB2312" w:eastAsia="仿宋_GB2312"/>
          <w:sz w:val="28"/>
          <w:szCs w:val="28"/>
          <w:lang w:val="en-US" w:eastAsia="zh-CN"/>
        </w:rPr>
        <w:t>2.52</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05</w:t>
      </w:r>
      <w:r>
        <w:rPr>
          <w:rFonts w:hint="eastAsia" w:ascii="仿宋_GB2312" w:eastAsia="仿宋_GB2312"/>
          <w:sz w:val="28"/>
          <w:szCs w:val="28"/>
        </w:rPr>
        <w:t>%； 科学技术支出</w:t>
      </w:r>
      <w:r>
        <w:rPr>
          <w:rFonts w:hint="eastAsia" w:ascii="仿宋_GB2312" w:eastAsia="仿宋_GB2312"/>
          <w:sz w:val="28"/>
          <w:szCs w:val="28"/>
          <w:lang w:val="en-US" w:eastAsia="zh-CN"/>
        </w:rPr>
        <w:t>38.52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0.79</w:t>
      </w:r>
      <w:r>
        <w:rPr>
          <w:rFonts w:hint="eastAsia" w:ascii="仿宋_GB2312" w:eastAsia="仿宋_GB2312"/>
          <w:sz w:val="28"/>
          <w:szCs w:val="28"/>
        </w:rPr>
        <w:t>%；社会保障和就业支出</w:t>
      </w:r>
      <w:r>
        <w:rPr>
          <w:rFonts w:hint="eastAsia" w:ascii="仿宋_GB2312" w:eastAsia="仿宋_GB2312"/>
          <w:sz w:val="28"/>
          <w:szCs w:val="28"/>
          <w:lang w:val="en-US" w:eastAsia="zh-CN"/>
        </w:rPr>
        <w:t>369.08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7.60</w:t>
      </w:r>
      <w:r>
        <w:rPr>
          <w:rFonts w:hint="eastAsia" w:ascii="仿宋_GB2312" w:eastAsia="仿宋_GB2312"/>
          <w:sz w:val="28"/>
          <w:szCs w:val="28"/>
        </w:rPr>
        <w:t>%；卫生</w:t>
      </w:r>
      <w:r>
        <w:rPr>
          <w:rFonts w:ascii="仿宋_GB2312" w:eastAsia="仿宋_GB2312"/>
          <w:sz w:val="28"/>
          <w:szCs w:val="28"/>
        </w:rPr>
        <w:t>健康支出</w:t>
      </w:r>
      <w:r>
        <w:rPr>
          <w:rFonts w:hint="eastAsia" w:ascii="仿宋_GB2312" w:eastAsia="仿宋_GB2312"/>
          <w:sz w:val="28"/>
          <w:szCs w:val="28"/>
          <w:lang w:val="en-US" w:eastAsia="zh-CN"/>
        </w:rPr>
        <w:t>212.94</w:t>
      </w:r>
      <w:r>
        <w:rPr>
          <w:rFonts w:hint="eastAsia" w:ascii="仿宋_GB2312" w:eastAsia="仿宋_GB2312"/>
          <w:sz w:val="28"/>
          <w:szCs w:val="28"/>
        </w:rPr>
        <w:t>，</w:t>
      </w:r>
      <w:r>
        <w:rPr>
          <w:rFonts w:ascii="仿宋_GB2312" w:eastAsia="仿宋_GB2312"/>
          <w:sz w:val="28"/>
          <w:szCs w:val="28"/>
        </w:rPr>
        <w:t>占本年财政拨款支出</w:t>
      </w:r>
      <w:r>
        <w:rPr>
          <w:rFonts w:hint="eastAsia" w:ascii="仿宋_GB2312" w:eastAsia="仿宋_GB2312"/>
          <w:sz w:val="28"/>
          <w:szCs w:val="28"/>
          <w:lang w:val="en-US" w:eastAsia="zh-CN"/>
        </w:rPr>
        <w:t>4.38</w:t>
      </w:r>
      <w:r>
        <w:rPr>
          <w:rFonts w:ascii="仿宋_GB2312" w:eastAsia="仿宋_GB2312"/>
          <w:sz w:val="28"/>
          <w:szCs w:val="28"/>
        </w:rPr>
        <w:t>%；</w:t>
      </w:r>
      <w:r>
        <w:rPr>
          <w:rFonts w:hint="eastAsia" w:ascii="仿宋_GB2312" w:eastAsia="仿宋_GB2312"/>
          <w:sz w:val="28"/>
          <w:szCs w:val="28"/>
        </w:rPr>
        <w:t>农林水支出</w:t>
      </w:r>
      <w:r>
        <w:rPr>
          <w:rFonts w:hint="eastAsia" w:ascii="仿宋_GB2312" w:eastAsia="仿宋_GB2312"/>
          <w:sz w:val="28"/>
          <w:szCs w:val="28"/>
          <w:lang w:val="en-US" w:eastAsia="zh-CN"/>
        </w:rPr>
        <w:t>4234.64</w:t>
      </w:r>
      <w:r>
        <w:rPr>
          <w:rFonts w:hint="eastAsia" w:ascii="仿宋_GB2312" w:eastAsia="仿宋_GB2312"/>
          <w:sz w:val="28"/>
          <w:szCs w:val="28"/>
        </w:rPr>
        <w:t>万元，占本年财政拨款支出</w:t>
      </w:r>
      <w:r>
        <w:rPr>
          <w:rFonts w:ascii="仿宋_GB2312" w:eastAsia="仿宋_GB2312"/>
          <w:sz w:val="28"/>
          <w:szCs w:val="28"/>
        </w:rPr>
        <w:t>87.</w:t>
      </w:r>
      <w:r>
        <w:rPr>
          <w:rFonts w:hint="eastAsia" w:ascii="仿宋_GB2312" w:eastAsia="仿宋_GB2312"/>
          <w:sz w:val="28"/>
          <w:szCs w:val="28"/>
          <w:lang w:val="en-US" w:eastAsia="zh-CN"/>
        </w:rPr>
        <w:t>1</w:t>
      </w:r>
      <w:r>
        <w:rPr>
          <w:rFonts w:ascii="仿宋_GB2312" w:eastAsia="仿宋_GB2312"/>
          <w:sz w:val="28"/>
          <w:szCs w:val="28"/>
        </w:rPr>
        <w:t>7</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33.60</w:t>
      </w:r>
      <w:r>
        <w:rPr>
          <w:rFonts w:hint="eastAsia" w:ascii="仿宋_GB2312" w:eastAsia="仿宋_GB2312"/>
          <w:sz w:val="28"/>
          <w:szCs w:val="28"/>
        </w:rPr>
        <w:t>%。其中：</w:t>
      </w:r>
    </w:p>
    <w:p>
      <w:pPr>
        <w:spacing w:line="580" w:lineRule="exact"/>
        <w:rPr>
          <w:rFonts w:hint="eastAsia" w:ascii="仿宋_GB2312" w:eastAsia="仿宋_GB2312"/>
          <w:sz w:val="28"/>
          <w:szCs w:val="28"/>
          <w:highlight w:val="none"/>
        </w:rPr>
      </w:pPr>
      <w:r>
        <w:rPr>
          <w:rFonts w:hint="eastAsia" w:ascii="仿宋_GB2312" w:eastAsia="仿宋_GB2312"/>
          <w:sz w:val="28"/>
          <w:szCs w:val="28"/>
          <w:lang w:val="en-US" w:eastAsia="zh-CN"/>
        </w:rPr>
        <w:t xml:space="preserve">   </w:t>
      </w: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33.60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落实政府过紧日子的要求，厉行勤俭节约，压缩培训成本</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2、“科学技术支出”202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38.52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76.66</w:t>
      </w:r>
      <w:r>
        <w:rPr>
          <w:rFonts w:hint="eastAsia" w:ascii="仿宋_GB2312" w:eastAsia="仿宋_GB2312"/>
          <w:sz w:val="28"/>
          <w:szCs w:val="28"/>
        </w:rPr>
        <w:t>%。其中：</w:t>
      </w:r>
    </w:p>
    <w:p>
      <w:pPr>
        <w:spacing w:line="580" w:lineRule="exact"/>
        <w:rPr>
          <w:rFonts w:hint="eastAsia" w:ascii="仿宋_GB2312" w:eastAsia="仿宋_GB2312"/>
          <w:color w:val="000000"/>
          <w:sz w:val="28"/>
          <w:szCs w:val="28"/>
          <w:highlight w:val="none"/>
        </w:rPr>
      </w:pPr>
      <w:r>
        <w:rPr>
          <w:rFonts w:hint="eastAsia" w:ascii="仿宋_GB2312" w:eastAsia="仿宋_GB2312"/>
          <w:sz w:val="28"/>
          <w:szCs w:val="28"/>
          <w:lang w:val="en-US" w:eastAsia="zh-CN"/>
        </w:rPr>
        <w:t xml:space="preserve">   </w:t>
      </w:r>
      <w:r>
        <w:rPr>
          <w:rFonts w:hint="eastAsia" w:ascii="仿宋_GB2312" w:eastAsia="仿宋_GB2312"/>
          <w:sz w:val="28"/>
          <w:szCs w:val="28"/>
        </w:rPr>
        <w:t>“技术研究与开发”202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38.52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76.66</w:t>
      </w:r>
      <w:r>
        <w:rPr>
          <w:rFonts w:hint="eastAsia" w:ascii="仿宋_GB2312" w:eastAsia="仿宋_GB2312"/>
          <w:sz w:val="28"/>
          <w:szCs w:val="28"/>
        </w:rPr>
        <w:t>%。主要原因：</w:t>
      </w:r>
      <w:r>
        <w:rPr>
          <w:rFonts w:hint="eastAsia" w:ascii="仿宋_GB2312" w:eastAsia="仿宋_GB2312"/>
          <w:color w:val="000000"/>
          <w:sz w:val="28"/>
          <w:szCs w:val="28"/>
          <w:highlight w:val="none"/>
          <w:lang w:eastAsia="zh-CN"/>
        </w:rPr>
        <w:t>受科研项目管理特性影响，根据相关规定，科研类项目可滚动支持、跨年实施</w:t>
      </w:r>
      <w:r>
        <w:rPr>
          <w:rFonts w:hint="eastAsia" w:ascii="仿宋_GB2312" w:eastAsia="仿宋_GB2312"/>
          <w:color w:val="000000"/>
          <w:sz w:val="28"/>
          <w:szCs w:val="28"/>
          <w:highlight w:val="none"/>
        </w:rPr>
        <w:t>。</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lang w:val="en-US" w:eastAsia="zh-CN"/>
        </w:rPr>
        <w:t xml:space="preserve">    3、</w:t>
      </w: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369.52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369.08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99.88</w:t>
      </w:r>
      <w:r>
        <w:rPr>
          <w:rFonts w:hint="eastAsia" w:ascii="仿宋_GB2312" w:eastAsia="仿宋_GB2312"/>
          <w:sz w:val="28"/>
          <w:szCs w:val="28"/>
        </w:rPr>
        <w:t>%。其中：</w:t>
      </w:r>
    </w:p>
    <w:p>
      <w:pPr>
        <w:numPr>
          <w:ilvl w:val="0"/>
          <w:numId w:val="0"/>
        </w:numPr>
        <w:spacing w:line="580" w:lineRule="exact"/>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rPr>
        <w:t>“</w:t>
      </w:r>
      <w:r>
        <w:rPr>
          <w:rFonts w:hint="eastAsia" w:ascii="仿宋_GB2312" w:hAnsi="宋体" w:eastAsia="仿宋_GB2312" w:cs="宋体"/>
          <w:bCs/>
          <w:kern w:val="0"/>
          <w:sz w:val="28"/>
          <w:szCs w:val="28"/>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369.52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369.08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99.88</w:t>
      </w:r>
      <w:r>
        <w:rPr>
          <w:rFonts w:hint="eastAsia" w:ascii="仿宋_GB2312" w:eastAsia="仿宋_GB2312"/>
          <w:sz w:val="28"/>
          <w:szCs w:val="28"/>
        </w:rPr>
        <w:t>%。主要原因：</w:t>
      </w:r>
      <w:r>
        <w:rPr>
          <w:rFonts w:hint="eastAsia" w:ascii="仿宋_GB2312" w:eastAsia="仿宋_GB2312"/>
          <w:sz w:val="28"/>
          <w:szCs w:val="28"/>
          <w:lang w:eastAsia="zh-CN"/>
        </w:rPr>
        <w:t>按照实际缴费情况缴纳职工基本养老保险和职业年金。</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4、“卫生</w:t>
      </w:r>
      <w:r>
        <w:rPr>
          <w:rFonts w:ascii="仿宋_GB2312" w:eastAsia="仿宋_GB2312"/>
          <w:sz w:val="28"/>
          <w:szCs w:val="28"/>
        </w:rPr>
        <w:t>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214.94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212.94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99.07</w:t>
      </w:r>
      <w:r>
        <w:rPr>
          <w:rFonts w:hint="eastAsia" w:ascii="仿宋_GB2312" w:eastAsia="仿宋_GB2312"/>
          <w:sz w:val="28"/>
          <w:szCs w:val="28"/>
        </w:rPr>
        <w:t>%。其中：</w:t>
      </w:r>
    </w:p>
    <w:p>
      <w:pPr>
        <w:numPr>
          <w:ilvl w:val="0"/>
          <w:numId w:val="0"/>
        </w:numPr>
        <w:spacing w:line="580" w:lineRule="exact"/>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rPr>
        <w:t>“</w:t>
      </w:r>
      <w:r>
        <w:rPr>
          <w:rFonts w:hint="eastAsia" w:ascii="仿宋_GB2312" w:hAnsi="宋体" w:eastAsia="仿宋_GB2312" w:cs="宋体"/>
          <w:bCs/>
          <w:kern w:val="0"/>
          <w:sz w:val="28"/>
          <w:szCs w:val="28"/>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214.94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212.94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99.07</w:t>
      </w:r>
      <w:r>
        <w:rPr>
          <w:rFonts w:hint="eastAsia" w:ascii="仿宋_GB2312" w:eastAsia="仿宋_GB2312"/>
          <w:sz w:val="28"/>
          <w:szCs w:val="28"/>
        </w:rPr>
        <w:t>%。主要原因：</w:t>
      </w:r>
      <w:r>
        <w:rPr>
          <w:rFonts w:hint="eastAsia" w:ascii="仿宋_GB2312" w:eastAsia="仿宋_GB2312"/>
          <w:sz w:val="28"/>
          <w:szCs w:val="28"/>
          <w:lang w:eastAsia="zh-CN"/>
        </w:rPr>
        <w:t>按照实际缴费情况缴纳职工医疗保险。</w:t>
      </w:r>
    </w:p>
    <w:p>
      <w:pPr>
        <w:numPr>
          <w:ilvl w:val="0"/>
          <w:numId w:val="1"/>
        </w:numPr>
        <w:spacing w:line="580" w:lineRule="exact"/>
        <w:ind w:firstLine="560"/>
        <w:rPr>
          <w:rFonts w:hint="eastAsia" w:ascii="仿宋_GB2312" w:eastAsia="仿宋_GB2312"/>
          <w:sz w:val="28"/>
          <w:szCs w:val="28"/>
          <w:lang w:val="en-US" w:eastAsia="zh-CN"/>
        </w:rPr>
      </w:pPr>
      <w:r>
        <w:rPr>
          <w:rFonts w:hint="eastAsia" w:ascii="仿宋_GB2312" w:eastAsia="仿宋_GB2312"/>
          <w:sz w:val="28"/>
          <w:szCs w:val="28"/>
        </w:rPr>
        <w:t>“农林水支出”202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4309.60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4234.64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98.26</w:t>
      </w:r>
      <w:r>
        <w:rPr>
          <w:rFonts w:hint="eastAsia" w:ascii="仿宋_GB2312" w:eastAsia="仿宋_GB2312"/>
          <w:sz w:val="28"/>
          <w:szCs w:val="28"/>
        </w:rPr>
        <w:t>%。其中</w:t>
      </w:r>
      <w:r>
        <w:rPr>
          <w:rFonts w:hint="eastAsia" w:ascii="仿宋_GB2312" w:eastAsia="仿宋_GB2312"/>
          <w:sz w:val="28"/>
          <w:szCs w:val="28"/>
          <w:lang w:eastAsia="zh-CN"/>
        </w:rPr>
        <w:t>：</w:t>
      </w:r>
      <w:r>
        <w:rPr>
          <w:rFonts w:hint="eastAsia" w:ascii="仿宋_GB2312" w:eastAsia="仿宋_GB2312"/>
          <w:sz w:val="28"/>
          <w:szCs w:val="28"/>
          <w:lang w:val="en-US" w:eastAsia="zh-CN"/>
        </w:rPr>
        <w:t xml:space="preserve">           </w:t>
      </w:r>
    </w:p>
    <w:p>
      <w:pPr>
        <w:spacing w:line="580" w:lineRule="exac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w:t>
      </w:r>
      <w:r>
        <w:rPr>
          <w:rFonts w:hint="eastAsia" w:ascii="仿宋_GB2312" w:hAnsi="宋体" w:eastAsia="仿宋_GB2312" w:cs="宋体"/>
          <w:bCs/>
          <w:kern w:val="0"/>
          <w:sz w:val="28"/>
          <w:szCs w:val="28"/>
        </w:rPr>
        <w:t>农业农村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4309.60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4234.64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98.26</w:t>
      </w:r>
      <w:r>
        <w:rPr>
          <w:rFonts w:hint="eastAsia" w:ascii="仿宋_GB2312" w:eastAsia="仿宋_GB2312"/>
          <w:sz w:val="28"/>
          <w:szCs w:val="28"/>
        </w:rPr>
        <w:t>%。主要原因：</w:t>
      </w:r>
      <w:r>
        <w:rPr>
          <w:rFonts w:hint="eastAsia" w:ascii="仿宋_GB2312" w:eastAsia="仿宋_GB2312"/>
          <w:sz w:val="28"/>
          <w:szCs w:val="28"/>
          <w:lang w:eastAsia="zh-CN"/>
        </w:rPr>
        <w:t>落实政府过紧日子的要求，压减和严控一般性支出</w:t>
      </w:r>
      <w:r>
        <w:rPr>
          <w:rFonts w:hint="eastAsia" w:ascii="仿宋_GB2312" w:eastAsia="仿宋_GB2312"/>
          <w:sz w:val="28"/>
          <w:szCs w:val="28"/>
        </w:rPr>
        <w:t>。</w:t>
      </w:r>
    </w:p>
    <w:p>
      <w:pPr>
        <w:numPr>
          <w:ilvl w:val="0"/>
          <w:numId w:val="2"/>
        </w:numPr>
        <w:spacing w:line="580" w:lineRule="exact"/>
        <w:ind w:firstLine="562"/>
        <w:rPr>
          <w:rFonts w:hint="eastAsia" w:ascii="黑体" w:eastAsia="黑体"/>
          <w:b/>
          <w:sz w:val="28"/>
          <w:szCs w:val="28"/>
        </w:rPr>
      </w:pPr>
      <w:r>
        <w:rPr>
          <w:rFonts w:hint="eastAsia" w:ascii="黑体" w:eastAsia="黑体"/>
          <w:b/>
          <w:sz w:val="28"/>
          <w:szCs w:val="28"/>
        </w:rPr>
        <w:t>政府性基金预算财政拨款支出决算情况说明</w:t>
      </w:r>
    </w:p>
    <w:p>
      <w:pPr>
        <w:numPr>
          <w:ilvl w:val="0"/>
          <w:numId w:val="0"/>
        </w:numPr>
        <w:spacing w:line="580" w:lineRule="exact"/>
        <w:rPr>
          <w:rFonts w:hint="eastAsia" w:ascii="仿宋_GB2312" w:hAnsi="仿宋_GB2312" w:eastAsia="仿宋_GB2312" w:cs="仿宋_GB2312"/>
          <w:b w:val="0"/>
          <w:bCs w:val="0"/>
          <w:sz w:val="28"/>
          <w:szCs w:val="28"/>
          <w:highlight w:val="none"/>
          <w:lang w:eastAsia="zh-CN"/>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 w:eastAsia="仿宋_GB2312"/>
          <w:sz w:val="28"/>
          <w:szCs w:val="28"/>
          <w:highlight w:val="none"/>
        </w:rPr>
        <w:t>本单位无</w:t>
      </w:r>
      <w:r>
        <w:rPr>
          <w:rFonts w:hint="eastAsia" w:ascii="仿宋_GB2312" w:hAnsi="仿宋" w:eastAsia="仿宋_GB2312"/>
          <w:sz w:val="28"/>
          <w:szCs w:val="28"/>
          <w:highlight w:val="none"/>
          <w:lang w:eastAsia="zh-CN"/>
        </w:rPr>
        <w:t>此项支出</w:t>
      </w:r>
      <w:r>
        <w:rPr>
          <w:rFonts w:hint="eastAsia" w:ascii="仿宋_GB2312" w:hAnsi="仿宋" w:eastAsia="仿宋_GB2312"/>
          <w:sz w:val="28"/>
          <w:szCs w:val="28"/>
          <w:highlight w:val="none"/>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hAnsi="仿宋" w:eastAsia="仿宋_GB2312"/>
          <w:sz w:val="28"/>
          <w:szCs w:val="28"/>
          <w:highlight w:val="none"/>
        </w:rPr>
        <w:t>本单位无</w:t>
      </w:r>
      <w:r>
        <w:rPr>
          <w:rFonts w:hint="eastAsia" w:ascii="仿宋_GB2312" w:hAnsi="仿宋" w:eastAsia="仿宋_GB2312"/>
          <w:sz w:val="28"/>
          <w:szCs w:val="28"/>
          <w:highlight w:val="none"/>
          <w:lang w:eastAsia="zh-CN"/>
        </w:rPr>
        <w:t>此项支出</w:t>
      </w:r>
      <w:r>
        <w:rPr>
          <w:rFonts w:hint="eastAsia" w:ascii="仿宋_GB2312" w:hAnsi="仿宋" w:eastAsia="仿宋_GB2312"/>
          <w:sz w:val="28"/>
          <w:szCs w:val="28"/>
          <w:highlight w:val="none"/>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3529.26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办公费、印刷费、咨询费、水费、电费、邮电费、取暖费、物业管理费、差旅费、维修（护）费、会议费、培训费、工会经费、福利费、公务用车运行维护费、其他交通费、其他商品和服务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34.47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43.28</w:t>
      </w:r>
      <w:r>
        <w:rPr>
          <w:rFonts w:hint="eastAsia" w:ascii="仿宋_GB2312" w:eastAsia="仿宋_GB2312"/>
          <w:sz w:val="28"/>
          <w:szCs w:val="28"/>
        </w:rPr>
        <w:t>万元减少</w:t>
      </w:r>
      <w:r>
        <w:rPr>
          <w:rFonts w:ascii="仿宋_GB2312" w:eastAsia="仿宋_GB2312"/>
          <w:sz w:val="28"/>
          <w:szCs w:val="28"/>
        </w:rPr>
        <w:t>8.81</w:t>
      </w:r>
      <w:r>
        <w:rPr>
          <w:rFonts w:hint="eastAsia" w:ascii="仿宋_GB2312" w:eastAsia="仿宋_GB2312"/>
          <w:sz w:val="28"/>
          <w:szCs w:val="28"/>
        </w:rPr>
        <w:t>万元。其中：</w:t>
      </w:r>
    </w:p>
    <w:p>
      <w:pPr>
        <w:numPr>
          <w:ilvl w:val="0"/>
          <w:numId w:val="3"/>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w:t>
      </w:r>
      <w:r>
        <w:rPr>
          <w:rFonts w:hint="eastAsia" w:ascii="仿宋_GB2312" w:eastAsia="仿宋_GB2312"/>
          <w:sz w:val="28"/>
          <w:szCs w:val="28"/>
          <w:lang w:eastAsia="zh-CN"/>
        </w:rPr>
        <w:t>本单位无此项经费。</w:t>
      </w:r>
    </w:p>
    <w:p>
      <w:pPr>
        <w:numPr>
          <w:ilvl w:val="0"/>
          <w:numId w:val="0"/>
        </w:numPr>
        <w:spacing w:line="560" w:lineRule="exac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2.公务接待费。</w:t>
      </w:r>
      <w:r>
        <w:rPr>
          <w:rFonts w:hint="eastAsia" w:ascii="仿宋_GB2312" w:eastAsia="仿宋_GB2312"/>
          <w:sz w:val="28"/>
          <w:szCs w:val="28"/>
          <w:lang w:eastAsia="zh-CN"/>
        </w:rPr>
        <w:t>本单位无此项经费。</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34.47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43.28</w:t>
      </w:r>
      <w:r>
        <w:rPr>
          <w:rFonts w:hint="eastAsia" w:ascii="仿宋_GB2312" w:eastAsia="仿宋_GB2312"/>
          <w:sz w:val="28"/>
          <w:szCs w:val="28"/>
        </w:rPr>
        <w:t>万元减少</w:t>
      </w:r>
      <w:r>
        <w:rPr>
          <w:rFonts w:ascii="仿宋_GB2312" w:eastAsia="仿宋_GB2312"/>
          <w:sz w:val="28"/>
          <w:szCs w:val="28"/>
        </w:rPr>
        <w:t>8.81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24.08</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eastAsia="zh-CN"/>
        </w:rPr>
        <w:t>持平</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10.39</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落实政府过紧日子的要求，压减和严控一般性支出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pStyle w:val="3"/>
        <w:ind w:firstLine="479" w:firstLineChars="171"/>
        <w:rPr>
          <w:rFonts w:hint="eastAsia" w:ascii="仿宋" w:hAnsi="仿宋" w:eastAsia="仿宋"/>
          <w:sz w:val="28"/>
          <w:szCs w:val="28"/>
        </w:rPr>
      </w:pPr>
      <w:r>
        <w:rPr>
          <w:rFonts w:hint="eastAsia" w:ascii="仿宋_GB2312" w:hAnsi="仿宋" w:eastAsia="仿宋_GB2312"/>
          <w:sz w:val="28"/>
          <w:szCs w:val="28"/>
        </w:rPr>
        <w:t>我单位不在机关运行经费统计范围之内</w:t>
      </w:r>
      <w:r>
        <w:rPr>
          <w:rFonts w:hint="eastAsia" w:ascii="仿宋" w:hAnsi="仿宋" w:eastAsia="仿宋"/>
          <w:sz w:val="28"/>
          <w:szCs w:val="28"/>
        </w:rPr>
        <w:t>。</w:t>
      </w:r>
    </w:p>
    <w:p>
      <w:pPr>
        <w:rPr>
          <w:rFonts w:hint="eastAsia" w:ascii="黑体" w:eastAsia="黑体"/>
          <w:sz w:val="28"/>
          <w:szCs w:val="28"/>
        </w:rPr>
      </w:pPr>
      <w:r>
        <w:rPr>
          <w:rFonts w:hint="eastAsia" w:ascii="黑体" w:eastAsia="黑体"/>
          <w:sz w:val="28"/>
          <w:szCs w:val="28"/>
          <w:lang w:val="en-US" w:eastAsia="zh-CN"/>
        </w:rPr>
        <w:t xml:space="preserve">    </w:t>
      </w: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598.47</w:t>
      </w:r>
      <w:r>
        <w:rPr>
          <w:rFonts w:hint="eastAsia" w:ascii="仿宋_GB2312" w:eastAsia="仿宋_GB2312"/>
          <w:sz w:val="28"/>
          <w:szCs w:val="28"/>
        </w:rPr>
        <w:t>万元，其中：政府采购货物支出</w:t>
      </w:r>
      <w:r>
        <w:rPr>
          <w:rFonts w:ascii="仿宋_GB2312" w:eastAsia="仿宋_GB2312"/>
          <w:sz w:val="28"/>
          <w:szCs w:val="28"/>
        </w:rPr>
        <w:t>560.57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37.9</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377.28</w:t>
      </w:r>
      <w:r>
        <w:rPr>
          <w:rFonts w:hint="eastAsia" w:ascii="仿宋_GB2312" w:eastAsia="仿宋_GB2312"/>
          <w:sz w:val="28"/>
          <w:szCs w:val="28"/>
        </w:rPr>
        <w:t>万元，占政府采购支出总额的</w:t>
      </w:r>
      <w:r>
        <w:rPr>
          <w:rFonts w:hint="eastAsia" w:ascii="仿宋_GB2312" w:eastAsia="仿宋_GB2312"/>
          <w:sz w:val="28"/>
          <w:szCs w:val="28"/>
          <w:lang w:eastAsia="zh-CN"/>
        </w:rPr>
        <w:t>63.04</w:t>
      </w:r>
      <w:r>
        <w:rPr>
          <w:rFonts w:hint="eastAsia" w:ascii="仿宋_GB2312" w:eastAsia="仿宋_GB2312"/>
          <w:sz w:val="28"/>
          <w:szCs w:val="28"/>
        </w:rPr>
        <w:t>%，其中：授予小微企业合同金额</w:t>
      </w:r>
      <w:r>
        <w:rPr>
          <w:rFonts w:ascii="仿宋_GB2312" w:eastAsia="仿宋_GB2312"/>
          <w:sz w:val="28"/>
          <w:szCs w:val="28"/>
        </w:rPr>
        <w:t>167.02</w:t>
      </w:r>
      <w:r>
        <w:rPr>
          <w:rFonts w:hint="eastAsia" w:ascii="仿宋_GB2312" w:eastAsia="仿宋_GB2312"/>
          <w:sz w:val="28"/>
          <w:szCs w:val="28"/>
        </w:rPr>
        <w:t>万元，占政府采购支出总额的</w:t>
      </w:r>
      <w:r>
        <w:rPr>
          <w:rFonts w:ascii="仿宋_GB2312" w:eastAsia="仿宋_GB2312"/>
          <w:sz w:val="28"/>
          <w:szCs w:val="28"/>
        </w:rPr>
        <w:t>27.91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12月31日，北京市动物疫病预防控制中心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19</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3"/>
        <w:ind w:left="0" w:leftChars="0" w:firstLine="0" w:firstLineChars="0"/>
        <w:rPr>
          <w:rFonts w:ascii="Segoe UI" w:hAnsi="Segoe UI" w:cs="Segoe UI"/>
          <w:color w:val="242931"/>
          <w:szCs w:val="21"/>
          <w:shd w:val="clear" w:color="auto" w:fill="FFFFFF"/>
        </w:rPr>
      </w:pPr>
      <w:r>
        <w:rPr>
          <w:rFonts w:hint="eastAsia" w:ascii="仿宋_GB2312" w:hAnsi="仿宋" w:eastAsia="仿宋_GB2312"/>
          <w:sz w:val="28"/>
          <w:szCs w:val="28"/>
          <w:lang w:val="en-US" w:eastAsia="zh-CN"/>
        </w:rPr>
        <w:t xml:space="preserve">    7</w:t>
      </w:r>
      <w:r>
        <w:rPr>
          <w:rFonts w:hint="eastAsia" w:ascii="仿宋_GB2312" w:hAnsi="仿宋" w:eastAsia="仿宋_GB2312"/>
          <w:sz w:val="28"/>
          <w:szCs w:val="28"/>
        </w:rPr>
        <w:t>.科学技术支出（类）技术研究与开发（款）其他技术研究与开发支出（项）：</w:t>
      </w:r>
      <w:r>
        <w:rPr>
          <w:rFonts w:hint="eastAsia" w:ascii="仿宋_GB2312" w:hAnsi="Segoe UI" w:eastAsia="仿宋_GB2312" w:cs="Segoe UI"/>
          <w:color w:val="242931"/>
          <w:sz w:val="28"/>
          <w:szCs w:val="28"/>
          <w:shd w:val="clear" w:color="auto" w:fill="FFFFFF"/>
        </w:rPr>
        <w:t>反映除上述项目以外，其他用于技术研究与开发方面的支出。</w:t>
      </w:r>
    </w:p>
    <w:p>
      <w:pPr>
        <w:pStyle w:val="3"/>
        <w:ind w:left="0" w:leftChars="0" w:firstLine="0" w:firstLineChars="0"/>
        <w:rPr>
          <w:rFonts w:ascii="仿宋_GB2312" w:hAnsi="仿宋" w:eastAsia="仿宋_GB2312"/>
          <w:bCs/>
          <w:sz w:val="28"/>
          <w:szCs w:val="28"/>
        </w:rPr>
      </w:pPr>
      <w:r>
        <w:rPr>
          <w:rFonts w:hint="eastAsia" w:ascii="仿宋_GB2312" w:hAnsi="仿宋" w:eastAsia="仿宋_GB2312"/>
          <w:sz w:val="28"/>
          <w:szCs w:val="28"/>
          <w:lang w:val="en-US" w:eastAsia="zh-CN"/>
        </w:rPr>
        <w:t xml:space="preserve">    8</w:t>
      </w:r>
      <w:r>
        <w:rPr>
          <w:rFonts w:hint="eastAsia" w:ascii="仿宋_GB2312" w:hAnsi="仿宋" w:eastAsia="仿宋_GB2312"/>
          <w:sz w:val="28"/>
          <w:szCs w:val="28"/>
        </w:rPr>
        <w:t>.社会保障和就业支出（类）行政事业单位养老支出（款）事业单位离退休（项）：</w:t>
      </w:r>
      <w:r>
        <w:rPr>
          <w:rFonts w:ascii="Segoe UI" w:hAnsi="Segoe UI" w:cs="Segoe UI"/>
          <w:color w:val="242931"/>
          <w:szCs w:val="21"/>
          <w:shd w:val="clear" w:color="auto" w:fill="FFFFFF"/>
        </w:rPr>
        <w:t>：</w:t>
      </w:r>
      <w:r>
        <w:rPr>
          <w:rFonts w:hint="eastAsia" w:ascii="仿宋_GB2312" w:hAnsi="Segoe UI" w:eastAsia="仿宋_GB2312" w:cs="Segoe UI"/>
          <w:color w:val="242931"/>
          <w:sz w:val="28"/>
          <w:szCs w:val="28"/>
          <w:shd w:val="clear" w:color="auto" w:fill="FFFFFF"/>
        </w:rPr>
        <w:t>反映事业单位开支的离退休经费。</w:t>
      </w:r>
    </w:p>
    <w:p>
      <w:pPr>
        <w:pStyle w:val="3"/>
        <w:ind w:left="0" w:leftChars="0" w:firstLine="0" w:firstLineChars="0"/>
        <w:rPr>
          <w:rFonts w:ascii="仿宋_GB2312" w:hAnsi="仿宋" w:eastAsia="仿宋_GB2312"/>
          <w:sz w:val="28"/>
          <w:szCs w:val="28"/>
        </w:rPr>
      </w:pPr>
      <w:r>
        <w:rPr>
          <w:rFonts w:hint="eastAsia" w:ascii="仿宋_GB2312" w:hAnsi="仿宋" w:eastAsia="仿宋_GB2312"/>
          <w:bCs/>
          <w:sz w:val="28"/>
          <w:szCs w:val="28"/>
          <w:lang w:val="en-US" w:eastAsia="zh-CN"/>
        </w:rPr>
        <w:t xml:space="preserve">    9</w:t>
      </w:r>
      <w:r>
        <w:rPr>
          <w:rFonts w:hint="eastAsia" w:ascii="仿宋_GB2312" w:hAnsi="仿宋" w:eastAsia="仿宋_GB2312"/>
          <w:bCs/>
          <w:sz w:val="28"/>
          <w:szCs w:val="28"/>
        </w:rPr>
        <w:t>.农林水支出（类）农业农村（款）事业运行（项）：</w:t>
      </w:r>
      <w:r>
        <w:rPr>
          <w:rFonts w:hint="eastAsia" w:ascii="仿宋_GB2312" w:hAnsi="Segoe UI" w:eastAsia="仿宋_GB2312" w:cs="Segoe UI"/>
          <w:color w:val="242931"/>
          <w:sz w:val="28"/>
          <w:szCs w:val="28"/>
          <w:shd w:val="clear" w:color="auto" w:fill="FFFFFF"/>
        </w:rPr>
        <w:t>反映用于农业事业单位基本支出，事业单位设施、系统运行与资产维护等方面的支出。</w:t>
      </w:r>
    </w:p>
    <w:p>
      <w:pPr>
        <w:pStyle w:val="3"/>
        <w:ind w:left="0" w:leftChars="0" w:firstLine="0" w:firstLineChars="0"/>
        <w:rPr>
          <w:rFonts w:hint="eastAsia" w:ascii="仿宋_GB2312" w:hAnsi="Segoe UI" w:eastAsia="仿宋_GB2312" w:cs="Segoe UI"/>
          <w:color w:val="242931"/>
          <w:sz w:val="28"/>
          <w:szCs w:val="28"/>
          <w:shd w:val="clear" w:color="auto" w:fill="FFFFFF"/>
        </w:rPr>
      </w:pPr>
      <w:r>
        <w:rPr>
          <w:rFonts w:hint="eastAsia" w:ascii="仿宋_GB2312" w:hAnsi="仿宋" w:eastAsia="仿宋_GB2312"/>
          <w:sz w:val="28"/>
          <w:szCs w:val="28"/>
          <w:lang w:val="en-US" w:eastAsia="zh-CN"/>
        </w:rPr>
        <w:t xml:space="preserve">    10</w:t>
      </w:r>
      <w:r>
        <w:rPr>
          <w:rFonts w:hint="eastAsia" w:ascii="仿宋_GB2312" w:hAnsi="仿宋" w:eastAsia="仿宋_GB2312"/>
          <w:sz w:val="28"/>
          <w:szCs w:val="28"/>
        </w:rPr>
        <w:t>.</w:t>
      </w:r>
      <w:r>
        <w:rPr>
          <w:rFonts w:hint="eastAsia" w:ascii="仿宋_GB2312" w:hAnsi="仿宋" w:eastAsia="仿宋_GB2312"/>
          <w:bCs/>
          <w:sz w:val="28"/>
          <w:szCs w:val="28"/>
        </w:rPr>
        <w:t xml:space="preserve"> 农林水支出（类）农业农村（款）科技转化与推广服务（项）：</w:t>
      </w:r>
      <w:r>
        <w:rPr>
          <w:rFonts w:hint="eastAsia" w:ascii="仿宋_GB2312" w:hAnsi="Segoe UI" w:eastAsia="仿宋_GB2312" w:cs="Segoe UI"/>
          <w:color w:val="242931"/>
          <w:sz w:val="28"/>
          <w:szCs w:val="28"/>
          <w:shd w:val="clear" w:color="auto" w:fill="FFFFFF"/>
        </w:rPr>
        <w:t>反映用于农业科技成果转化，农业科技人才奖励，农业新品种、新机具、新技术引进、试验、示范、推广及服务，农村人居环境整治等方面的技术试验示范支出。</w:t>
      </w:r>
    </w:p>
    <w:p>
      <w:pPr>
        <w:pStyle w:val="3"/>
        <w:ind w:left="0" w:leftChars="0" w:firstLine="0" w:firstLineChars="0"/>
        <w:rPr>
          <w:rFonts w:ascii="仿宋_GB2312" w:eastAsia="仿宋_GB2312"/>
          <w:sz w:val="28"/>
          <w:szCs w:val="28"/>
        </w:rPr>
      </w:pPr>
      <w:r>
        <w:rPr>
          <w:rFonts w:hint="eastAsia" w:ascii="仿宋_GB2312" w:hAnsi="Segoe UI" w:eastAsia="仿宋_GB2312" w:cs="Segoe UI"/>
          <w:color w:val="242931"/>
          <w:sz w:val="28"/>
          <w:szCs w:val="28"/>
          <w:shd w:val="clear" w:color="auto" w:fill="FFFFFF"/>
          <w:lang w:val="en-US" w:eastAsia="zh-CN"/>
        </w:rPr>
        <w:t xml:space="preserve">    </w:t>
      </w:r>
      <w:r>
        <w:rPr>
          <w:rFonts w:hint="eastAsia" w:ascii="仿宋_GB2312" w:hAnsi="仿宋" w:eastAsia="仿宋_GB2312"/>
          <w:sz w:val="28"/>
          <w:szCs w:val="28"/>
          <w:lang w:val="en-US" w:eastAsia="zh-CN"/>
        </w:rPr>
        <w:t>11</w:t>
      </w:r>
      <w:r>
        <w:rPr>
          <w:rFonts w:hint="eastAsia" w:ascii="仿宋_GB2312" w:hAnsi="仿宋" w:eastAsia="仿宋_GB2312"/>
          <w:sz w:val="28"/>
          <w:szCs w:val="28"/>
        </w:rPr>
        <w:t>.</w:t>
      </w:r>
      <w:r>
        <w:rPr>
          <w:rFonts w:hint="eastAsia" w:ascii="仿宋_GB2312" w:hAnsi="仿宋" w:eastAsia="仿宋_GB2312"/>
          <w:bCs/>
          <w:sz w:val="28"/>
          <w:szCs w:val="28"/>
        </w:rPr>
        <w:t xml:space="preserve"> 农林水支出（类）农业农村（款）病虫害控制（项）：</w:t>
      </w:r>
      <w:r>
        <w:rPr>
          <w:rFonts w:hint="eastAsia" w:ascii="仿宋_GB2312" w:hAnsi="Segoe UI" w:eastAsia="仿宋_GB2312" w:cs="Segoe UI"/>
          <w:color w:val="242931"/>
          <w:sz w:val="28"/>
          <w:szCs w:val="28"/>
          <w:shd w:val="clear" w:color="auto" w:fill="FFFFFF"/>
        </w:rPr>
        <w:t>反映用于病虫鼠害及疫情监测、预报、预防、控制、检疫、防疫所需的仪器、设施、药物、疫苗、种苗，疫畜（禽、鱼、植物)防治、扑杀补偿及劳务补助、菌（毒）种保藏及动植物及其产品检疫、检测等方面的支出。</w:t>
      </w:r>
    </w:p>
    <w:p>
      <w:pPr>
        <w:rPr>
          <w:rFonts w:ascii="仿宋_GB2312" w:eastAsia="仿宋_GB2312"/>
          <w:sz w:val="28"/>
          <w:szCs w:val="28"/>
        </w:rPr>
      </w:pPr>
    </w:p>
    <w:p>
      <w:pPr>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jc w:val="center"/>
        <w:rPr>
          <w:rFonts w:hint="eastAsia" w:ascii="黑体" w:eastAsia="黑体"/>
          <w:sz w:val="28"/>
          <w:szCs w:val="28"/>
          <w:highlight w:val="yellow"/>
        </w:rPr>
      </w:pPr>
    </w:p>
    <w:p>
      <w:pPr>
        <w:numPr>
          <w:ilvl w:val="0"/>
          <w:numId w:val="0"/>
        </w:numPr>
        <w:rPr>
          <w:rFonts w:ascii="黑体" w:eastAsia="黑体"/>
          <w:sz w:val="28"/>
          <w:szCs w:val="28"/>
        </w:rPr>
      </w:pPr>
      <w:r>
        <w:rPr>
          <w:rFonts w:hint="eastAsia" w:ascii="黑体" w:eastAsia="黑体"/>
          <w:sz w:val="28"/>
          <w:szCs w:val="28"/>
          <w:lang w:val="en-US" w:eastAsia="zh-CN"/>
        </w:rPr>
        <w:t xml:space="preserve">    </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Arial">
    <w:panose1 w:val="020B0604020202020204"/>
    <w:charset w:val="00"/>
    <w:family w:val="swiss"/>
    <w:pitch w:val="default"/>
    <w:sig w:usb0="E0002AFF" w:usb1="C0007843" w:usb2="00000009" w:usb3="00000000" w:csb0="400001FF" w:csb1="FFFF0000"/>
  </w:font>
  <w:font w:name="方正小标宋简体">
    <w:altName w:val="Arial Unicode MS"/>
    <w:panose1 w:val="02010601030101010101"/>
    <w:charset w:val="86"/>
    <w:family w:val="auto"/>
    <w:pitch w:val="default"/>
    <w:sig w:usb0="00000000" w:usb1="00000000" w:usb2="00000000" w:usb3="00000000" w:csb0="00040000" w:csb1="00000000"/>
  </w:font>
  <w:font w:name="Segoe UI">
    <w:panose1 w:val="020B0502040204020203"/>
    <w:charset w:val="00"/>
    <w:family w:val="swiss"/>
    <w:pitch w:val="default"/>
    <w:sig w:usb0="E10022FF" w:usb1="C000E47F" w:usb2="00000029" w:usb3="00000000" w:csb0="200001DF" w:csb1="2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Chinese Quot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FC9BB"/>
    <w:multiLevelType w:val="singleLevel"/>
    <w:tmpl w:val="68AFC9BB"/>
    <w:lvl w:ilvl="0" w:tentative="0">
      <w:start w:val="5"/>
      <w:numFmt w:val="decimal"/>
      <w:suff w:val="nothing"/>
      <w:lvlText w:val="%1、"/>
      <w:lvlJc w:val="left"/>
    </w:lvl>
  </w:abstractNum>
  <w:abstractNum w:abstractNumId="1">
    <w:nsid w:val="68AFCA8C"/>
    <w:multiLevelType w:val="singleLevel"/>
    <w:tmpl w:val="68AFCA8C"/>
    <w:lvl w:ilvl="0" w:tentative="0">
      <w:start w:val="5"/>
      <w:numFmt w:val="chineseCounting"/>
      <w:suff w:val="nothing"/>
      <w:lvlText w:val="%1、"/>
      <w:lvlJc w:val="left"/>
    </w:lvl>
  </w:abstractNum>
  <w:abstractNum w:abstractNumId="2">
    <w:nsid w:val="68AFCC79"/>
    <w:multiLevelType w:val="singleLevel"/>
    <w:tmpl w:val="68AFCC79"/>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534DBA"/>
    <w:rsid w:val="02585A42"/>
    <w:rsid w:val="02F120AB"/>
    <w:rsid w:val="032B5196"/>
    <w:rsid w:val="04C3537C"/>
    <w:rsid w:val="06D928DF"/>
    <w:rsid w:val="079004AC"/>
    <w:rsid w:val="0BA148CA"/>
    <w:rsid w:val="0C1165C4"/>
    <w:rsid w:val="0C366790"/>
    <w:rsid w:val="0D6D544B"/>
    <w:rsid w:val="0DD136FE"/>
    <w:rsid w:val="0DD805B7"/>
    <w:rsid w:val="0DF7598E"/>
    <w:rsid w:val="0F8E2C57"/>
    <w:rsid w:val="0FCF7AEA"/>
    <w:rsid w:val="1059665E"/>
    <w:rsid w:val="10AC13BA"/>
    <w:rsid w:val="11E62860"/>
    <w:rsid w:val="13787F59"/>
    <w:rsid w:val="13E92ED7"/>
    <w:rsid w:val="145A6C1B"/>
    <w:rsid w:val="14B73493"/>
    <w:rsid w:val="167A2FF9"/>
    <w:rsid w:val="17744530"/>
    <w:rsid w:val="17A86E79"/>
    <w:rsid w:val="17D36AA7"/>
    <w:rsid w:val="18581C69"/>
    <w:rsid w:val="1AEC0734"/>
    <w:rsid w:val="1DB43F23"/>
    <w:rsid w:val="1DEF20B0"/>
    <w:rsid w:val="214243FA"/>
    <w:rsid w:val="21AD613C"/>
    <w:rsid w:val="22467189"/>
    <w:rsid w:val="257A14F5"/>
    <w:rsid w:val="25C1255C"/>
    <w:rsid w:val="27196C26"/>
    <w:rsid w:val="29EF086F"/>
    <w:rsid w:val="2A520893"/>
    <w:rsid w:val="2DB745F9"/>
    <w:rsid w:val="2E1D2CD9"/>
    <w:rsid w:val="2EFFE297"/>
    <w:rsid w:val="301437CA"/>
    <w:rsid w:val="349D1F0A"/>
    <w:rsid w:val="34DD0473"/>
    <w:rsid w:val="377D6EA8"/>
    <w:rsid w:val="3A5E4522"/>
    <w:rsid w:val="3B566A5C"/>
    <w:rsid w:val="3C684897"/>
    <w:rsid w:val="3C6E6233"/>
    <w:rsid w:val="3DA551B0"/>
    <w:rsid w:val="3EF17679"/>
    <w:rsid w:val="40FE393A"/>
    <w:rsid w:val="433E495C"/>
    <w:rsid w:val="489F2FD7"/>
    <w:rsid w:val="4A4647EA"/>
    <w:rsid w:val="4AC27CB3"/>
    <w:rsid w:val="4BF72BEF"/>
    <w:rsid w:val="4CA6256E"/>
    <w:rsid w:val="4D2A1638"/>
    <w:rsid w:val="4FA90297"/>
    <w:rsid w:val="4FC41A43"/>
    <w:rsid w:val="51DB3C59"/>
    <w:rsid w:val="52680E04"/>
    <w:rsid w:val="54561B2D"/>
    <w:rsid w:val="54F724D8"/>
    <w:rsid w:val="550C0952"/>
    <w:rsid w:val="55762E42"/>
    <w:rsid w:val="56942336"/>
    <w:rsid w:val="57A7B272"/>
    <w:rsid w:val="58100E57"/>
    <w:rsid w:val="58204059"/>
    <w:rsid w:val="58470068"/>
    <w:rsid w:val="58747CAC"/>
    <w:rsid w:val="592F6CAC"/>
    <w:rsid w:val="59B167A0"/>
    <w:rsid w:val="5A1720F9"/>
    <w:rsid w:val="5B9C37C2"/>
    <w:rsid w:val="5BA7C654"/>
    <w:rsid w:val="5D265CD7"/>
    <w:rsid w:val="5D2B6C33"/>
    <w:rsid w:val="5D8A72BA"/>
    <w:rsid w:val="5EC14F31"/>
    <w:rsid w:val="60634654"/>
    <w:rsid w:val="60A54109"/>
    <w:rsid w:val="60FF398A"/>
    <w:rsid w:val="61D01CDF"/>
    <w:rsid w:val="64C0607C"/>
    <w:rsid w:val="65756C86"/>
    <w:rsid w:val="65875934"/>
    <w:rsid w:val="674D385B"/>
    <w:rsid w:val="676F09E1"/>
    <w:rsid w:val="6984450E"/>
    <w:rsid w:val="6C091E76"/>
    <w:rsid w:val="6C11515C"/>
    <w:rsid w:val="6D625D6C"/>
    <w:rsid w:val="70F17333"/>
    <w:rsid w:val="71793A80"/>
    <w:rsid w:val="72C61C19"/>
    <w:rsid w:val="7357290B"/>
    <w:rsid w:val="7426251E"/>
    <w:rsid w:val="78E00CEF"/>
    <w:rsid w:val="791E24E7"/>
    <w:rsid w:val="797C693C"/>
    <w:rsid w:val="798524E4"/>
    <w:rsid w:val="79E678F8"/>
    <w:rsid w:val="7A7F1C49"/>
    <w:rsid w:val="7AB22265"/>
    <w:rsid w:val="7B5B7AE6"/>
    <w:rsid w:val="7B7B6628"/>
    <w:rsid w:val="7BA7071E"/>
    <w:rsid w:val="7BDF6DA8"/>
    <w:rsid w:val="7BF32E8D"/>
    <w:rsid w:val="7C3B7660"/>
    <w:rsid w:val="7C7EDC1A"/>
    <w:rsid w:val="7CCED98D"/>
    <w:rsid w:val="7D08410F"/>
    <w:rsid w:val="7DB96DED"/>
    <w:rsid w:val="7DD3AD81"/>
    <w:rsid w:val="7E132DB4"/>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99.99</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manualLayout>
                  <c:x val="-0.0108940873646756"/>
                  <c:y val="-0.101499631650129"/>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0</a:t>
                    </a:r>
                    <a:r>
                      <a:rPr lang="en-US" altLang="zh-CN"/>
                      <a:t>.01</a:t>
                    </a:r>
                    <a:r>
                      <a:t>%</a:t>
                    </a:r>
                  </a:p>
                </c:rich>
              </c:tx>
              <c:dLblPos val="inEnd"/>
              <c:showLegendKey val="0"/>
              <c:showVal val="0"/>
              <c:showCatName val="0"/>
              <c:showSerName val="0"/>
              <c:showPercent val="1"/>
              <c:showBubbleSize val="0"/>
              <c:extLst>
                <c:ext xmlns:c15="http://schemas.microsoft.com/office/drawing/2012/chart" uri="{CE6537A1-D6FC-4f65-9D91-7224C49458BB}">
                  <c15:layout/>
                </c:ext>
              </c:extLst>
            </c:dLbl>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[工作簿1]Sheet1!$A$1:$A$2</c:f>
              <c:strCache>
                <c:ptCount val="2"/>
                <c:pt idx="0">
                  <c:v>财政拨款收入</c:v>
                </c:pt>
                <c:pt idx="1">
                  <c:v>其他收入</c:v>
                </c:pt>
              </c:strCache>
            </c:strRef>
          </c:cat>
          <c:val>
            <c:numRef>
              <c:f>[工作簿1]Sheet1!$B$1:$B$2</c:f>
              <c:numCache>
                <c:formatCode>General</c:formatCode>
                <c:ptCount val="2"/>
                <c:pt idx="0" c:formatCode="General">
                  <c:v>5001.91</c:v>
                </c:pt>
                <c:pt idx="1" c:formatCode="General">
                  <c:v>0.39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formatCode="General">
                  <c:v>3529.64</c:v>
                </c:pt>
                <c:pt idx="1" c:formatCode="General">
                  <c:v>1339.59</c:v>
                </c:pt>
                <c:pt idx="2" c:formatCode="General">
                  <c:v>0</c:v>
                </c:pt>
                <c:pt idx="3" c:formatCode="General">
                  <c:v>0</c:v>
                </c:pt>
                <c:pt idx="4" c:formatCode="General">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ScaleCrop>false</ScaleCrop>
  <LinksUpToDate>false</LinksUpToDate>
  <CharactersWithSpaces>5802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李晶(防疫物资科/北京市动物疫病预防控制中心)</cp:lastModifiedBy>
  <cp:lastPrinted>2020-08-07T11:39:00Z</cp:lastPrinted>
  <dcterms:modified xsi:type="dcterms:W3CDTF">2025-09-02T05:06:03Z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