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pStyle w:val="2"/>
      </w:pPr>
    </w:p>
    <w:p>
      <w:pPr>
        <w:jc w:val="center"/>
        <w:rPr>
          <w:rFonts w:ascii="黑体" w:eastAsia="黑体"/>
          <w:sz w:val="52"/>
          <w:szCs w:val="5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（一）本单位性质、职责等情况</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北京市农村发展中心为正处级公益一类全额拨款事业单位，主要职责是：承担本市乡村产业发展、乡村建设、乡村治理相关技术性、事务性工作，承担本市农村集体经济组织管理相关事务性工作。</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（二）机构设置情况</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单位内设9个科室：办公室（党建办）、乡村规划科、村镇建设科、农村集体经济发展科、乡村产业促进科、农村金融科、乡村人才建设科、乡村治理科、行政后勤科。</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（三）人员编制及实有情况</w:t>
      </w:r>
    </w:p>
    <w:p>
      <w:pPr>
        <w:tabs>
          <w:tab w:val="center" w:pos="6979"/>
        </w:tabs>
        <w:spacing w:line="580" w:lineRule="exact"/>
        <w:ind w:firstLine="570"/>
        <w:rPr>
          <w:rFonts w:hint="eastAsia" w:ascii="仿宋_GB2312" w:eastAsia="仿宋_GB2312"/>
          <w:b/>
          <w:sz w:val="32"/>
          <w:szCs w:val="32"/>
        </w:rPr>
      </w:pPr>
      <w:r>
        <w:rPr>
          <w:rFonts w:hint="eastAsia" w:ascii="仿宋_GB2312" w:eastAsia="仿宋_GB2312"/>
          <w:sz w:val="28"/>
          <w:szCs w:val="28"/>
          <w:highlight w:val="none"/>
        </w:rPr>
        <w:t>北京市农村发展中心行政编制0人，实有人数0人；事业编制53人，实有人数4</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人；退休人员5</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人。</w:t>
      </w:r>
      <w:r>
        <w:rPr>
          <w:rFonts w:hint="eastAsia" w:ascii="仿宋_GB2312" w:eastAsia="仿宋_GB2312"/>
          <w:b/>
          <w:sz w:val="32"/>
          <w:szCs w:val="32"/>
        </w:rPr>
        <w:t xml:space="preserve"> </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3150.73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207.16</w:t>
      </w:r>
      <w:r>
        <w:rPr>
          <w:rFonts w:hint="eastAsia" w:ascii="仿宋_GB2312" w:eastAsia="仿宋_GB2312"/>
          <w:sz w:val="28"/>
          <w:szCs w:val="28"/>
        </w:rPr>
        <w:t>万元，下降</w:t>
      </w:r>
      <w:r>
        <w:rPr>
          <w:rFonts w:hint="eastAsia" w:ascii="仿宋_GB2312" w:eastAsia="仿宋_GB2312"/>
          <w:sz w:val="28"/>
          <w:szCs w:val="28"/>
          <w:lang w:val="en-US" w:eastAsia="zh-CN"/>
        </w:rPr>
        <w:t>6.17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2320.98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49.28</w:t>
      </w:r>
      <w:r>
        <w:rPr>
          <w:rFonts w:hint="eastAsia" w:ascii="仿宋_GB2312" w:eastAsia="仿宋_GB2312"/>
          <w:sz w:val="28"/>
          <w:szCs w:val="28"/>
        </w:rPr>
        <w:t>万元，增长</w:t>
      </w:r>
      <w:r>
        <w:rPr>
          <w:rFonts w:hint="eastAsia" w:ascii="仿宋_GB2312" w:eastAsia="仿宋_GB2312"/>
          <w:sz w:val="28"/>
          <w:szCs w:val="28"/>
          <w:lang w:val="en-US" w:eastAsia="zh-CN"/>
        </w:rPr>
        <w:t>2.17</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2311.14</w:t>
      </w:r>
      <w:r>
        <w:rPr>
          <w:rFonts w:hint="eastAsia" w:ascii="仿宋_GB2312" w:eastAsia="仿宋_GB2312"/>
          <w:sz w:val="28"/>
          <w:szCs w:val="28"/>
        </w:rPr>
        <w:t>万元，占收入合计的</w:t>
      </w:r>
      <w:r>
        <w:rPr>
          <w:rFonts w:hint="eastAsia" w:ascii="仿宋_GB2312" w:eastAsia="仿宋_GB2312"/>
          <w:sz w:val="28"/>
          <w:szCs w:val="28"/>
          <w:lang w:eastAsia="zh-CN"/>
        </w:rPr>
        <w:t>99.58%。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2311.14</w:t>
      </w:r>
      <w:r>
        <w:rPr>
          <w:rFonts w:hint="eastAsia" w:ascii="仿宋_GB2312" w:eastAsia="仿宋_GB2312"/>
          <w:sz w:val="28"/>
          <w:szCs w:val="28"/>
        </w:rPr>
        <w:t>万元，占收入合计的</w:t>
      </w:r>
      <w:r>
        <w:rPr>
          <w:rFonts w:hint="eastAsia" w:ascii="仿宋_GB2312" w:eastAsia="仿宋_GB2312"/>
          <w:sz w:val="28"/>
          <w:szCs w:val="28"/>
          <w:lang w:eastAsia="zh-CN"/>
        </w:rPr>
        <w:t>99.58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9.84</w:t>
      </w:r>
      <w:r>
        <w:rPr>
          <w:rFonts w:hint="eastAsia" w:ascii="仿宋_GB2312" w:eastAsia="仿宋_GB2312"/>
          <w:sz w:val="28"/>
          <w:szCs w:val="28"/>
        </w:rPr>
        <w:t>万元，占收入合计的</w:t>
      </w:r>
      <w:r>
        <w:rPr>
          <w:rFonts w:hint="eastAsia" w:ascii="仿宋_GB2312" w:eastAsia="仿宋_GB2312"/>
          <w:sz w:val="28"/>
          <w:szCs w:val="28"/>
          <w:lang w:eastAsia="zh-CN"/>
        </w:rPr>
        <w:t>0.42</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2224.91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256.66</w:t>
      </w:r>
      <w:r>
        <w:rPr>
          <w:rFonts w:hint="eastAsia" w:ascii="仿宋_GB2312" w:eastAsia="仿宋_GB2312"/>
          <w:sz w:val="28"/>
          <w:szCs w:val="28"/>
        </w:rPr>
        <w:t>万元，下降</w:t>
      </w:r>
      <w:r>
        <w:rPr>
          <w:rFonts w:hint="eastAsia" w:ascii="仿宋_GB2312" w:eastAsia="仿宋_GB2312"/>
          <w:sz w:val="28"/>
          <w:szCs w:val="28"/>
          <w:lang w:val="en-US" w:eastAsia="zh-CN"/>
        </w:rPr>
        <w:t>10.34</w:t>
      </w:r>
      <w:r>
        <w:rPr>
          <w:rFonts w:hint="eastAsia" w:ascii="仿宋_GB2312" w:eastAsia="仿宋_GB2312"/>
          <w:sz w:val="28"/>
          <w:szCs w:val="28"/>
        </w:rPr>
        <w:t>%，其中：基本支出</w:t>
      </w:r>
      <w:r>
        <w:rPr>
          <w:rFonts w:ascii="仿宋_GB2312" w:eastAsia="仿宋_GB2312"/>
          <w:sz w:val="28"/>
          <w:szCs w:val="28"/>
        </w:rPr>
        <w:t>1791.11</w:t>
      </w:r>
      <w:r>
        <w:rPr>
          <w:rFonts w:hint="eastAsia" w:ascii="仿宋_GB2312" w:eastAsia="仿宋_GB2312"/>
          <w:sz w:val="28"/>
          <w:szCs w:val="28"/>
        </w:rPr>
        <w:t>万元，占支出合计的</w:t>
      </w:r>
      <w:r>
        <w:rPr>
          <w:rFonts w:hint="eastAsia" w:ascii="仿宋_GB2312" w:eastAsia="仿宋_GB2312"/>
          <w:sz w:val="28"/>
          <w:szCs w:val="28"/>
          <w:lang w:eastAsia="zh-CN"/>
        </w:rPr>
        <w:t>80.5</w:t>
      </w:r>
      <w:r>
        <w:rPr>
          <w:rFonts w:hint="eastAsia" w:ascii="仿宋_GB2312" w:eastAsia="仿宋_GB2312"/>
          <w:sz w:val="28"/>
          <w:szCs w:val="28"/>
          <w:lang w:val="en-US" w:eastAsia="zh-CN"/>
        </w:rPr>
        <w:t>0</w:t>
      </w:r>
      <w:r>
        <w:rPr>
          <w:rFonts w:hint="eastAsia" w:ascii="仿宋_GB2312" w:eastAsia="仿宋_GB2312"/>
          <w:sz w:val="28"/>
          <w:szCs w:val="28"/>
        </w:rPr>
        <w:t>%；项目支出</w:t>
      </w:r>
      <w:r>
        <w:rPr>
          <w:rFonts w:ascii="仿宋_GB2312" w:eastAsia="仿宋_GB2312"/>
          <w:sz w:val="28"/>
          <w:szCs w:val="28"/>
        </w:rPr>
        <w:t>433.8</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eastAsia="zh-CN"/>
        </w:rPr>
        <w:t>19.5</w:t>
      </w:r>
      <w:r>
        <w:rPr>
          <w:rFonts w:hint="eastAsia" w:ascii="仿宋_GB2312" w:eastAsia="仿宋_GB2312"/>
          <w:sz w:val="28"/>
          <w:szCs w:val="28"/>
          <w:lang w:val="en-US" w:eastAsia="zh-CN"/>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2311.14</w:t>
      </w:r>
      <w:r>
        <w:rPr>
          <w:rFonts w:hint="eastAsia" w:ascii="仿宋_GB2312" w:eastAsia="仿宋_GB2312"/>
          <w:sz w:val="28"/>
          <w:szCs w:val="28"/>
        </w:rPr>
        <w:t>万元，比上年减少</w:t>
      </w:r>
      <w:r>
        <w:rPr>
          <w:rFonts w:hint="eastAsia" w:ascii="仿宋_GB2312" w:eastAsia="仿宋_GB2312"/>
          <w:sz w:val="28"/>
          <w:szCs w:val="28"/>
          <w:lang w:val="en-US" w:eastAsia="zh-CN"/>
        </w:rPr>
        <w:t>21.30</w:t>
      </w:r>
      <w:r>
        <w:rPr>
          <w:rFonts w:hint="eastAsia" w:ascii="仿宋_GB2312" w:eastAsia="仿宋_GB2312"/>
          <w:sz w:val="28"/>
          <w:szCs w:val="28"/>
        </w:rPr>
        <w:t>万元，下降</w:t>
      </w:r>
      <w:r>
        <w:rPr>
          <w:rFonts w:hint="eastAsia" w:ascii="仿宋_GB2312" w:eastAsia="仿宋_GB2312"/>
          <w:sz w:val="28"/>
          <w:szCs w:val="28"/>
          <w:lang w:val="en-US" w:eastAsia="zh-CN"/>
        </w:rPr>
        <w:t>0.91</w:t>
      </w:r>
      <w:r>
        <w:rPr>
          <w:rFonts w:hint="eastAsia" w:ascii="仿宋_GB2312" w:eastAsia="仿宋_GB2312"/>
          <w:sz w:val="28"/>
          <w:szCs w:val="28"/>
        </w:rPr>
        <w:t>%。主要原因：厉行节约，压减和严控一般性支出。</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2213.52</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21.17</w:t>
      </w:r>
      <w:r>
        <w:rPr>
          <w:rFonts w:hint="eastAsia" w:ascii="仿宋_GB2312" w:eastAsia="仿宋_GB2312"/>
          <w:sz w:val="28"/>
          <w:szCs w:val="28"/>
        </w:rPr>
        <w:t>万元，占本年财政拨款支出0.96%；社会保障和就业支出2</w:t>
      </w:r>
      <w:r>
        <w:rPr>
          <w:rFonts w:hint="eastAsia" w:ascii="仿宋_GB2312" w:eastAsia="仿宋_GB2312"/>
          <w:sz w:val="28"/>
          <w:szCs w:val="28"/>
          <w:lang w:val="en-US" w:eastAsia="zh-CN"/>
        </w:rPr>
        <w:t>56</w:t>
      </w:r>
      <w:r>
        <w:rPr>
          <w:rFonts w:hint="eastAsia" w:ascii="仿宋_GB2312" w:eastAsia="仿宋_GB2312"/>
          <w:sz w:val="28"/>
          <w:szCs w:val="28"/>
        </w:rPr>
        <w:t>.</w:t>
      </w:r>
      <w:r>
        <w:rPr>
          <w:rFonts w:hint="eastAsia" w:ascii="仿宋_GB2312" w:eastAsia="仿宋_GB2312"/>
          <w:sz w:val="28"/>
          <w:szCs w:val="28"/>
          <w:lang w:val="en-US" w:eastAsia="zh-CN"/>
        </w:rPr>
        <w:t>8</w:t>
      </w:r>
      <w:r>
        <w:rPr>
          <w:rFonts w:hint="eastAsia" w:ascii="仿宋_GB2312" w:eastAsia="仿宋_GB2312"/>
          <w:sz w:val="28"/>
          <w:szCs w:val="28"/>
        </w:rPr>
        <w:t>8万元，占本年财政拨款支出11.</w:t>
      </w:r>
      <w:r>
        <w:rPr>
          <w:rFonts w:hint="eastAsia" w:ascii="仿宋_GB2312" w:eastAsia="仿宋_GB2312"/>
          <w:sz w:val="28"/>
          <w:szCs w:val="28"/>
          <w:lang w:val="en-US" w:eastAsia="zh-CN"/>
        </w:rPr>
        <w:t>61</w:t>
      </w:r>
      <w:r>
        <w:rPr>
          <w:rFonts w:hint="eastAsia" w:ascii="仿宋_GB2312" w:eastAsia="仿宋_GB2312"/>
          <w:sz w:val="28"/>
          <w:szCs w:val="28"/>
        </w:rPr>
        <w:t>%；卫生健康支出11</w:t>
      </w:r>
      <w:r>
        <w:rPr>
          <w:rFonts w:hint="eastAsia" w:ascii="仿宋_GB2312" w:eastAsia="仿宋_GB2312"/>
          <w:sz w:val="28"/>
          <w:szCs w:val="28"/>
          <w:lang w:val="en-US" w:eastAsia="zh-CN"/>
        </w:rPr>
        <w:t>5.18</w:t>
      </w:r>
      <w:r>
        <w:rPr>
          <w:rFonts w:hint="eastAsia" w:ascii="仿宋_GB2312" w:eastAsia="仿宋_GB2312"/>
          <w:sz w:val="28"/>
          <w:szCs w:val="28"/>
        </w:rPr>
        <w:t>万元，占本年财政拨款支出5.</w:t>
      </w:r>
      <w:r>
        <w:rPr>
          <w:rFonts w:hint="eastAsia" w:ascii="仿宋_GB2312" w:eastAsia="仿宋_GB2312"/>
          <w:sz w:val="28"/>
          <w:szCs w:val="28"/>
          <w:lang w:val="en-US" w:eastAsia="zh-CN"/>
        </w:rPr>
        <w:t>20</w:t>
      </w:r>
      <w:r>
        <w:rPr>
          <w:rFonts w:hint="eastAsia" w:ascii="仿宋_GB2312" w:eastAsia="仿宋_GB2312"/>
          <w:sz w:val="28"/>
          <w:szCs w:val="28"/>
        </w:rPr>
        <w:t>%；农林水支出18</w:t>
      </w:r>
      <w:r>
        <w:rPr>
          <w:rFonts w:hint="eastAsia" w:ascii="仿宋_GB2312" w:eastAsia="仿宋_GB2312"/>
          <w:sz w:val="28"/>
          <w:szCs w:val="28"/>
          <w:lang w:val="en-US" w:eastAsia="zh-CN"/>
        </w:rPr>
        <w:t>20.30</w:t>
      </w:r>
      <w:r>
        <w:rPr>
          <w:rFonts w:hint="eastAsia" w:ascii="仿宋_GB2312" w:eastAsia="仿宋_GB2312"/>
          <w:sz w:val="28"/>
          <w:szCs w:val="28"/>
        </w:rPr>
        <w:t>万元，占本年财政拨款支出82.</w:t>
      </w:r>
      <w:r>
        <w:rPr>
          <w:rFonts w:hint="eastAsia" w:ascii="仿宋_GB2312" w:eastAsia="仿宋_GB2312"/>
          <w:sz w:val="28"/>
          <w:szCs w:val="28"/>
          <w:lang w:val="en-US" w:eastAsia="zh-CN"/>
        </w:rPr>
        <w:t>24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47.66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44.42</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47.66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44.42</w:t>
      </w:r>
      <w:r>
        <w:rPr>
          <w:rFonts w:hint="eastAsia" w:ascii="仿宋_GB2312" w:eastAsia="仿宋_GB2312"/>
          <w:sz w:val="28"/>
          <w:szCs w:val="28"/>
        </w:rPr>
        <w:t>%。主要原因：</w:t>
      </w:r>
      <w:r>
        <w:rPr>
          <w:rFonts w:hint="eastAsia" w:ascii="仿宋_GB2312" w:eastAsia="仿宋_GB2312"/>
          <w:sz w:val="28"/>
          <w:szCs w:val="28"/>
          <w:lang w:val="en-US" w:eastAsia="zh-CN"/>
        </w:rPr>
        <w:t>落实政府过紧日子的要求，厉行勤俭节约，压缩培训成本。</w:t>
      </w:r>
    </w:p>
    <w:p>
      <w:pPr>
        <w:numPr>
          <w:ilvl w:val="0"/>
          <w:numId w:val="1"/>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271.22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256.88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94.71</w:t>
      </w:r>
      <w:r>
        <w:rPr>
          <w:rFonts w:hint="eastAsia" w:ascii="仿宋_GB2312" w:eastAsia="仿宋_GB2312"/>
          <w:sz w:val="28"/>
          <w:szCs w:val="28"/>
        </w:rPr>
        <w:t>%。其中：</w:t>
      </w:r>
    </w:p>
    <w:p>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271.22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256.88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94.71</w:t>
      </w:r>
      <w:r>
        <w:rPr>
          <w:rFonts w:hint="eastAsia" w:ascii="仿宋_GB2312" w:eastAsia="仿宋_GB2312"/>
          <w:sz w:val="28"/>
          <w:szCs w:val="28"/>
        </w:rPr>
        <w:t>%。主要原因：</w:t>
      </w:r>
      <w:r>
        <w:rPr>
          <w:rFonts w:hint="eastAsia" w:ascii="仿宋_GB2312" w:eastAsia="仿宋_GB2312"/>
          <w:sz w:val="28"/>
          <w:szCs w:val="28"/>
          <w:lang w:val="en-US" w:eastAsia="zh-CN"/>
        </w:rPr>
        <w:t>按照实际缴费情况缴纳职工基本养老保险和职业年金</w:t>
      </w:r>
      <w:r>
        <w:rPr>
          <w:rFonts w:hint="eastAsia" w:ascii="仿宋_GB2312" w:eastAsia="仿宋_GB2312"/>
          <w:sz w:val="28"/>
          <w:szCs w:val="28"/>
        </w:rPr>
        <w:t>。</w:t>
      </w:r>
    </w:p>
    <w:p>
      <w:pPr>
        <w:numPr>
          <w:ilvl w:val="0"/>
          <w:numId w:val="1"/>
        </w:numPr>
        <w:spacing w:line="580" w:lineRule="exact"/>
        <w:ind w:firstLine="560" w:firstLineChars="200"/>
        <w:rPr>
          <w:rFonts w:hint="eastAsia" w:ascii="仿宋_GB2312" w:eastAsia="仿宋_GB2312"/>
          <w:sz w:val="28"/>
          <w:szCs w:val="28"/>
          <w:lang w:val="en-US" w:eastAsia="zh-CN"/>
        </w:rPr>
      </w:pPr>
      <w:r>
        <w:rPr>
          <w:rFonts w:hint="eastAsia" w:ascii="仿宋_GB2312" w:hAnsi="Times New Roman" w:eastAsia="仿宋_GB2312" w:cs="Times New Roman"/>
          <w:b w:val="0"/>
          <w:bCs w:val="0"/>
          <w:kern w:val="2"/>
          <w:sz w:val="28"/>
          <w:szCs w:val="28"/>
          <w:lang w:val="en-US" w:eastAsia="zh-CN" w:bidi="ar-SA"/>
        </w:rPr>
        <w:t>“卫生健康支出”(类)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120.03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115.18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95.96</w:t>
      </w:r>
      <w:r>
        <w:rPr>
          <w:rFonts w:hint="eastAsia" w:ascii="仿宋_GB2312" w:eastAsia="仿宋_GB2312"/>
          <w:sz w:val="28"/>
          <w:szCs w:val="28"/>
        </w:rPr>
        <w:t>%。其中：</w:t>
      </w:r>
    </w:p>
    <w:p>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120.03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115.18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95.96</w:t>
      </w:r>
      <w:r>
        <w:rPr>
          <w:rFonts w:hint="eastAsia" w:ascii="仿宋_GB2312" w:eastAsia="仿宋_GB2312"/>
          <w:sz w:val="28"/>
          <w:szCs w:val="28"/>
        </w:rPr>
        <w:t>%。主要原因：</w:t>
      </w:r>
      <w:r>
        <w:rPr>
          <w:rFonts w:hint="eastAsia" w:ascii="仿宋_GB2312" w:eastAsia="仿宋_GB2312"/>
          <w:sz w:val="28"/>
          <w:szCs w:val="28"/>
          <w:lang w:val="en-US" w:eastAsia="zh-CN"/>
        </w:rPr>
        <w:t>按照实际缴费情况缴纳职工医疗保险。</w:t>
      </w:r>
    </w:p>
    <w:p>
      <w:pPr>
        <w:numPr>
          <w:ilvl w:val="0"/>
          <w:numId w:val="1"/>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“农林水支出”(类)202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2010.92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1820.30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90.52</w:t>
      </w:r>
      <w:r>
        <w:rPr>
          <w:rFonts w:hint="eastAsia" w:ascii="仿宋_GB2312" w:eastAsia="仿宋_GB2312"/>
          <w:sz w:val="28"/>
          <w:szCs w:val="28"/>
        </w:rPr>
        <w:t>%。其中：</w:t>
      </w:r>
    </w:p>
    <w:p>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“农业农村”（款）202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2010.92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1820.30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90.52</w:t>
      </w:r>
      <w:r>
        <w:rPr>
          <w:rFonts w:hint="eastAsia" w:ascii="仿宋_GB2312" w:eastAsia="仿宋_GB2312"/>
          <w:sz w:val="28"/>
          <w:szCs w:val="28"/>
        </w:rPr>
        <w:t>%。主要原因：</w:t>
      </w:r>
      <w:r>
        <w:rPr>
          <w:rFonts w:hint="eastAsia" w:ascii="仿宋_GB2312" w:eastAsia="仿宋_GB2312"/>
          <w:sz w:val="28"/>
          <w:szCs w:val="28"/>
          <w:lang w:val="en-US" w:eastAsia="zh-CN"/>
        </w:rPr>
        <w:t>落实政府过紧日子的要求，压减和严控一般性支出。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年度使用一般公共预算财政拨款安排基本支出1789.11万元，使用政府性基金财政拨款安排基本支出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27.11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38.39</w:t>
      </w:r>
      <w:r>
        <w:rPr>
          <w:rFonts w:hint="eastAsia" w:ascii="仿宋_GB2312" w:eastAsia="仿宋_GB2312"/>
          <w:sz w:val="28"/>
          <w:szCs w:val="28"/>
        </w:rPr>
        <w:t>万元减少</w:t>
      </w:r>
      <w:r>
        <w:rPr>
          <w:rFonts w:ascii="仿宋_GB2312" w:eastAsia="仿宋_GB2312"/>
          <w:sz w:val="28"/>
          <w:szCs w:val="28"/>
        </w:rPr>
        <w:t>11.28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5.92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9</w:t>
      </w:r>
      <w:r>
        <w:rPr>
          <w:rFonts w:hint="eastAsia" w:ascii="仿宋_GB2312" w:eastAsia="仿宋_GB2312"/>
          <w:sz w:val="28"/>
          <w:szCs w:val="28"/>
        </w:rPr>
        <w:t>万元减少</w:t>
      </w:r>
      <w:r>
        <w:rPr>
          <w:rFonts w:ascii="仿宋_GB2312" w:eastAsia="仿宋_GB2312"/>
          <w:sz w:val="28"/>
          <w:szCs w:val="28"/>
        </w:rPr>
        <w:t>3.08</w:t>
      </w:r>
      <w:r>
        <w:rPr>
          <w:rFonts w:hint="eastAsia" w:ascii="仿宋_GB2312" w:eastAsia="仿宋_GB2312"/>
          <w:sz w:val="28"/>
          <w:szCs w:val="28"/>
        </w:rPr>
        <w:t>万元。主要原因：厉行节约，严控出国经费；202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年度因公出国（境）费用主要用于赴</w:t>
      </w:r>
      <w:r>
        <w:rPr>
          <w:rFonts w:hint="eastAsia" w:ascii="仿宋_GB2312" w:eastAsia="仿宋_GB2312"/>
          <w:sz w:val="28"/>
          <w:szCs w:val="28"/>
          <w:lang w:eastAsia="zh-CN"/>
        </w:rPr>
        <w:t>境外学习</w:t>
      </w:r>
      <w:r>
        <w:rPr>
          <w:rFonts w:hint="eastAsia" w:ascii="仿宋_GB2312" w:eastAsia="仿宋_GB2312"/>
          <w:sz w:val="28"/>
          <w:szCs w:val="28"/>
        </w:rPr>
        <w:t>新型农业经营主体等</w:t>
      </w:r>
      <w:r>
        <w:rPr>
          <w:rFonts w:hint="eastAsia" w:ascii="仿宋_GB2312" w:eastAsia="仿宋_GB2312"/>
          <w:sz w:val="28"/>
          <w:szCs w:val="28"/>
          <w:lang w:eastAsia="zh-CN"/>
        </w:rPr>
        <w:t>方面</w:t>
      </w: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1</w:t>
      </w:r>
      <w:r>
        <w:rPr>
          <w:rFonts w:hint="eastAsia" w:ascii="仿宋_GB2312" w:eastAsia="仿宋_GB2312"/>
          <w:sz w:val="28"/>
          <w:szCs w:val="28"/>
        </w:rPr>
        <w:t>个、</w:t>
      </w:r>
      <w:r>
        <w:rPr>
          <w:rFonts w:hint="eastAsia" w:ascii="仿宋_GB2312" w:eastAsia="仿宋_GB2312"/>
          <w:sz w:val="28"/>
          <w:szCs w:val="28"/>
          <w:lang w:eastAsia="zh-CN"/>
        </w:rPr>
        <w:t>1</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0.66</w:t>
      </w:r>
      <w:r>
        <w:rPr>
          <w:rFonts w:hint="eastAsia" w:ascii="仿宋_GB2312" w:eastAsia="仿宋_GB2312"/>
          <w:sz w:val="28"/>
          <w:szCs w:val="28"/>
        </w:rPr>
        <w:t>万元减少</w:t>
      </w:r>
      <w:r>
        <w:rPr>
          <w:rFonts w:ascii="仿宋_GB2312" w:eastAsia="仿宋_GB2312"/>
          <w:sz w:val="28"/>
          <w:szCs w:val="28"/>
        </w:rPr>
        <w:t>0.66</w:t>
      </w:r>
      <w:r>
        <w:rPr>
          <w:rFonts w:hint="eastAsia" w:ascii="仿宋_GB2312" w:eastAsia="仿宋_GB2312"/>
          <w:sz w:val="28"/>
          <w:szCs w:val="28"/>
        </w:rPr>
        <w:t>万元。主要原因：厉行节约，严控公务接待。</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21.18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28.73</w:t>
      </w:r>
      <w:r>
        <w:rPr>
          <w:rFonts w:hint="eastAsia" w:ascii="仿宋_GB2312" w:eastAsia="仿宋_GB2312"/>
          <w:sz w:val="28"/>
          <w:szCs w:val="28"/>
        </w:rPr>
        <w:t>万元减少</w:t>
      </w:r>
      <w:r>
        <w:rPr>
          <w:rFonts w:ascii="仿宋_GB2312" w:eastAsia="仿宋_GB2312"/>
          <w:sz w:val="28"/>
          <w:szCs w:val="28"/>
        </w:rPr>
        <w:t>7.55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万元，与2024年度年初预算数持平，202</w:t>
      </w:r>
      <w:r>
        <w:rPr>
          <w:rFonts w:hint="eastAsia" w:ascii="仿宋_GB2312" w:eastAsia="仿宋_GB2312"/>
          <w:sz w:val="28"/>
          <w:szCs w:val="28"/>
          <w:lang w:val="en-US" w:eastAsia="zh-CN"/>
        </w:rPr>
        <w:t>4</w:t>
      </w:r>
      <w:r>
        <w:rPr>
          <w:rFonts w:hint="eastAsia" w:ascii="仿宋_GB2312" w:eastAsia="仿宋_GB2312"/>
          <w:sz w:val="28"/>
          <w:szCs w:val="28"/>
        </w:rPr>
        <w:t>年度更新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3.2</w:t>
      </w:r>
      <w:r>
        <w:rPr>
          <w:rFonts w:hint="eastAsia" w:ascii="仿宋_GB2312" w:eastAsia="仿宋_GB2312"/>
          <w:sz w:val="28"/>
          <w:szCs w:val="28"/>
        </w:rPr>
        <w:t>万元，比2024年度年初预算数10.75万元减少7.55万元，主要原因：厉行节约，严控公务用车运行维护费。202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225.87</w:t>
      </w:r>
      <w:r>
        <w:rPr>
          <w:rFonts w:hint="eastAsia" w:ascii="仿宋_GB2312" w:eastAsia="仿宋_GB2312"/>
          <w:sz w:val="28"/>
          <w:szCs w:val="28"/>
        </w:rPr>
        <w:t>万元，其中：政府采购货物支出</w:t>
      </w:r>
      <w:r>
        <w:rPr>
          <w:rFonts w:ascii="仿宋_GB2312" w:eastAsia="仿宋_GB2312"/>
          <w:sz w:val="28"/>
          <w:szCs w:val="28"/>
        </w:rPr>
        <w:t>18.74</w:t>
      </w:r>
      <w:r>
        <w:rPr>
          <w:rFonts w:hint="eastAsia" w:ascii="仿宋_GB2312" w:eastAsia="仿宋_GB2312"/>
          <w:sz w:val="28"/>
          <w:szCs w:val="28"/>
        </w:rPr>
        <w:t>万元，政府采购工程支出</w:t>
      </w:r>
      <w:r>
        <w:rPr>
          <w:rFonts w:ascii="仿宋_GB2312" w:eastAsia="仿宋_GB2312"/>
          <w:sz w:val="28"/>
          <w:szCs w:val="28"/>
        </w:rPr>
        <w:t>111.8</w:t>
      </w:r>
      <w:r>
        <w:rPr>
          <w:rFonts w:hint="eastAsia" w:ascii="仿宋_GB2312" w:eastAsia="仿宋_GB2312"/>
          <w:sz w:val="28"/>
          <w:szCs w:val="28"/>
        </w:rPr>
        <w:t>万元，政府采购服务支出</w:t>
      </w:r>
      <w:r>
        <w:rPr>
          <w:rFonts w:ascii="仿宋_GB2312" w:eastAsia="仿宋_GB2312"/>
          <w:sz w:val="28"/>
          <w:szCs w:val="28"/>
        </w:rPr>
        <w:t>95.32</w:t>
      </w:r>
      <w:r>
        <w:rPr>
          <w:rFonts w:hint="eastAsia" w:ascii="仿宋_GB2312" w:eastAsia="仿宋_GB2312"/>
          <w:sz w:val="28"/>
          <w:szCs w:val="28"/>
        </w:rPr>
        <w:t>万元。授予中小企业合同金额</w:t>
      </w:r>
      <w:r>
        <w:rPr>
          <w:rFonts w:ascii="仿宋_GB2312" w:eastAsia="仿宋_GB2312"/>
          <w:sz w:val="28"/>
          <w:szCs w:val="28"/>
        </w:rPr>
        <w:t>188.42</w:t>
      </w:r>
      <w:r>
        <w:rPr>
          <w:rFonts w:hint="eastAsia" w:ascii="仿宋_GB2312" w:eastAsia="仿宋_GB2312"/>
          <w:sz w:val="28"/>
          <w:szCs w:val="28"/>
        </w:rPr>
        <w:t>万元，占政府采购支出总额的</w:t>
      </w:r>
      <w:r>
        <w:rPr>
          <w:rFonts w:hint="eastAsia" w:ascii="仿宋_GB2312" w:eastAsia="仿宋_GB2312"/>
          <w:sz w:val="28"/>
          <w:szCs w:val="28"/>
          <w:lang w:eastAsia="zh-CN"/>
        </w:rPr>
        <w:t>83.42</w:t>
      </w:r>
      <w:r>
        <w:rPr>
          <w:rFonts w:hint="eastAsia" w:ascii="仿宋_GB2312" w:eastAsia="仿宋_GB2312"/>
          <w:sz w:val="28"/>
          <w:szCs w:val="28"/>
        </w:rPr>
        <w:t>%，其中：授予小微企业合同金额</w:t>
      </w:r>
      <w:r>
        <w:rPr>
          <w:rFonts w:ascii="仿宋_GB2312" w:eastAsia="仿宋_GB2312"/>
          <w:sz w:val="28"/>
          <w:szCs w:val="28"/>
        </w:rPr>
        <w:t>156.83</w:t>
      </w:r>
      <w:r>
        <w:rPr>
          <w:rFonts w:hint="eastAsia" w:ascii="仿宋_GB2312" w:eastAsia="仿宋_GB2312"/>
          <w:sz w:val="28"/>
          <w:szCs w:val="28"/>
        </w:rPr>
        <w:t>万元，占政府采购支出总额的</w:t>
      </w:r>
      <w:r>
        <w:rPr>
          <w:rFonts w:ascii="仿宋_GB2312" w:eastAsia="仿宋_GB2312"/>
          <w:sz w:val="28"/>
          <w:szCs w:val="28"/>
        </w:rPr>
        <w:t>69.43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12月31日，北京市农村发展中心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eastAsia="仿宋_GB2312"/>
          <w:sz w:val="28"/>
          <w:szCs w:val="28"/>
        </w:rPr>
      </w:pPr>
      <w:r>
        <w:rPr>
          <w:rFonts w:hint="eastAsia" w:ascii="仿宋_GB2312" w:eastAsia="仿宋_GB2312"/>
          <w:sz w:val="28"/>
          <w:szCs w:val="28"/>
        </w:rPr>
        <w:t>4.政府采购：指各级国家机关、事业单位和团体组织，使用财政性资金采购依法制定的集中目录以内的或者采购限额标准以上的货物、工程和服务的行为，是规范财政支出管理和强化预算约束的有效措施。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5.教育支出（类）进修及培训（款）培训支出（项）：反映各部门安排的用于培训的支出。</w:t>
      </w:r>
    </w:p>
    <w:p>
      <w:pPr>
        <w:ind w:firstLine="560" w:firstLineChars="200"/>
        <w:rPr>
          <w:rFonts w:hint="eastAsia" w:ascii="仿宋_GB2312" w:eastAsia="仿宋_GB2312"/>
          <w:sz w:val="28"/>
          <w:szCs w:val="28"/>
        </w:rPr>
      </w:pPr>
      <w:r>
        <w:rPr>
          <w:rFonts w:hint="eastAsia" w:ascii="仿宋_GB2312" w:eastAsia="仿宋_GB2312"/>
          <w:sz w:val="28"/>
          <w:szCs w:val="28"/>
        </w:rPr>
        <w:t>6.社会保障和就业支出（类）行政事业单位养老支出（款）事业单位离退休（项）：反映事业单位开支的离退休经费。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rPr>
        <w:t>7.社会保障和就业支出（类）行政事业单位养老支出（款）机关事业单位基本养老保险缴费支出（项）：反映机关事业单位实施养老保险制度由各单位缴纳的基本养老保险支出。</w:t>
      </w:r>
    </w:p>
    <w:p>
      <w:pPr>
        <w:ind w:firstLine="560" w:firstLineChars="200"/>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eastAsia="仿宋_GB2312"/>
          <w:sz w:val="28"/>
          <w:szCs w:val="28"/>
        </w:rPr>
      </w:pPr>
      <w:r>
        <w:rPr>
          <w:rFonts w:hint="eastAsia" w:ascii="仿宋_GB2312" w:eastAsia="仿宋_GB2312"/>
          <w:sz w:val="28"/>
          <w:szCs w:val="28"/>
        </w:rPr>
        <w:t>9.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rPr>
      </w:pPr>
      <w:r>
        <w:rPr>
          <w:rFonts w:hint="eastAsia" w:ascii="仿宋_GB2312" w:eastAsia="仿宋_GB2312"/>
          <w:sz w:val="28"/>
          <w:szCs w:val="28"/>
        </w:rPr>
        <w:t>10.农林水支出（类）农业农村（款）事业运行（项）：反映用于农业事业单位基本支出，事业单位设施、系统运行与资产维护等方面的支出。</w:t>
      </w:r>
    </w:p>
    <w:p>
      <w:pPr>
        <w:ind w:firstLine="560" w:firstLineChars="200"/>
        <w:rPr>
          <w:rFonts w:hint="eastAsia" w:ascii="仿宋_GB2312" w:eastAsia="仿宋_GB2312"/>
          <w:sz w:val="28"/>
          <w:szCs w:val="28"/>
        </w:rPr>
      </w:pPr>
      <w:r>
        <w:rPr>
          <w:rFonts w:hint="eastAsia" w:ascii="仿宋_GB2312" w:eastAsia="仿宋_GB2312"/>
          <w:sz w:val="28"/>
          <w:szCs w:val="28"/>
        </w:rPr>
        <w:t>11.农林水支出（类）农业农村（款）其他农业农村支出（项）：反映除上述项目以外其他用于农业农村方面的支出。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hint="eastAsia" w:ascii="黑体" w:eastAsia="黑体"/>
          <w:sz w:val="28"/>
          <w:szCs w:val="28"/>
        </w:rPr>
      </w:pPr>
    </w:p>
    <w:p>
      <w:pPr>
        <w:numPr>
          <w:ilvl w:val="0"/>
          <w:numId w:val="0"/>
        </w:numPr>
        <w:ind w:firstLine="840" w:firstLineChars="3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93B2AC"/>
    <w:multiLevelType w:val="singleLevel"/>
    <w:tmpl w:val="6893B2A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2B24FF"/>
    <w:rsid w:val="0997182D"/>
    <w:rsid w:val="0BA148CA"/>
    <w:rsid w:val="0C1165C4"/>
    <w:rsid w:val="0CF74D52"/>
    <w:rsid w:val="0D6D544B"/>
    <w:rsid w:val="0DD136FE"/>
    <w:rsid w:val="0F8E2C57"/>
    <w:rsid w:val="1059665E"/>
    <w:rsid w:val="10AC13BA"/>
    <w:rsid w:val="13174845"/>
    <w:rsid w:val="145A6C1B"/>
    <w:rsid w:val="14B73493"/>
    <w:rsid w:val="167A2FF9"/>
    <w:rsid w:val="174B01C5"/>
    <w:rsid w:val="17FC7DD4"/>
    <w:rsid w:val="18581C69"/>
    <w:rsid w:val="19F14643"/>
    <w:rsid w:val="1AEC0734"/>
    <w:rsid w:val="1DEF20B0"/>
    <w:rsid w:val="1E79088D"/>
    <w:rsid w:val="1EE45D3E"/>
    <w:rsid w:val="214243FA"/>
    <w:rsid w:val="21AD613C"/>
    <w:rsid w:val="22467189"/>
    <w:rsid w:val="2352435A"/>
    <w:rsid w:val="257A14F5"/>
    <w:rsid w:val="25AE2D99"/>
    <w:rsid w:val="268A2FE1"/>
    <w:rsid w:val="27196C26"/>
    <w:rsid w:val="279B771A"/>
    <w:rsid w:val="27CD08D9"/>
    <w:rsid w:val="29EF086F"/>
    <w:rsid w:val="2A651452"/>
    <w:rsid w:val="2B84428B"/>
    <w:rsid w:val="2DDB0600"/>
    <w:rsid w:val="2EFFE297"/>
    <w:rsid w:val="2FDE6441"/>
    <w:rsid w:val="301437CA"/>
    <w:rsid w:val="3295408B"/>
    <w:rsid w:val="349D1F0A"/>
    <w:rsid w:val="34AC6C79"/>
    <w:rsid w:val="34DD0473"/>
    <w:rsid w:val="351D03BB"/>
    <w:rsid w:val="35C23A74"/>
    <w:rsid w:val="38563CBC"/>
    <w:rsid w:val="3A2072C1"/>
    <w:rsid w:val="3A5816D1"/>
    <w:rsid w:val="3C267160"/>
    <w:rsid w:val="3C684897"/>
    <w:rsid w:val="3CA62F6E"/>
    <w:rsid w:val="3E2D53F7"/>
    <w:rsid w:val="433E495C"/>
    <w:rsid w:val="43A513A7"/>
    <w:rsid w:val="43E11250"/>
    <w:rsid w:val="44487991"/>
    <w:rsid w:val="45686297"/>
    <w:rsid w:val="45A01C4B"/>
    <w:rsid w:val="479010F6"/>
    <w:rsid w:val="489F2FD7"/>
    <w:rsid w:val="49AD41CC"/>
    <w:rsid w:val="4AC27CB3"/>
    <w:rsid w:val="4B4E0956"/>
    <w:rsid w:val="4BF72BEF"/>
    <w:rsid w:val="4C137FAF"/>
    <w:rsid w:val="4C1F59F2"/>
    <w:rsid w:val="4CE06773"/>
    <w:rsid w:val="4FA90297"/>
    <w:rsid w:val="4FC41A43"/>
    <w:rsid w:val="51DB3C59"/>
    <w:rsid w:val="550C0952"/>
    <w:rsid w:val="55762E42"/>
    <w:rsid w:val="56F0042E"/>
    <w:rsid w:val="57A7B272"/>
    <w:rsid w:val="58470068"/>
    <w:rsid w:val="58747CAC"/>
    <w:rsid w:val="5A1720F9"/>
    <w:rsid w:val="5AAB14CE"/>
    <w:rsid w:val="5B18603B"/>
    <w:rsid w:val="5B9C37C2"/>
    <w:rsid w:val="5BA7C654"/>
    <w:rsid w:val="5DEA05C0"/>
    <w:rsid w:val="60A54109"/>
    <w:rsid w:val="61D01CDF"/>
    <w:rsid w:val="62A4243E"/>
    <w:rsid w:val="63C06E7C"/>
    <w:rsid w:val="64C0607C"/>
    <w:rsid w:val="64F60832"/>
    <w:rsid w:val="65756C86"/>
    <w:rsid w:val="65AB285B"/>
    <w:rsid w:val="664770FB"/>
    <w:rsid w:val="67344FE3"/>
    <w:rsid w:val="674D385B"/>
    <w:rsid w:val="676F09E1"/>
    <w:rsid w:val="6BCB0A19"/>
    <w:rsid w:val="6CA441EA"/>
    <w:rsid w:val="6D0A6F75"/>
    <w:rsid w:val="6E5E7F5D"/>
    <w:rsid w:val="6F8A0D93"/>
    <w:rsid w:val="706124E5"/>
    <w:rsid w:val="712E50BB"/>
    <w:rsid w:val="715C725A"/>
    <w:rsid w:val="71793A80"/>
    <w:rsid w:val="7357290B"/>
    <w:rsid w:val="74B67F0B"/>
    <w:rsid w:val="76164029"/>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0892;&#21457;&#20013;&#24515;\&#20915;&#31639;\&#20915;&#31639;&#20844;&#24320;\2024\&#39292;&#2227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0892;&#21457;&#20013;&#24515;\&#20915;&#31639;\&#20915;&#31639;&#20844;&#24320;\2024\&#39292;&#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b="1"/>
              <a:t>收入决算</a:t>
            </a:r>
            <a:endParaRPr b="1"/>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[饼图.xlsx]Sheet1!$C$6:$D$6</c:f>
              <c:strCache>
                <c:ptCount val="2"/>
                <c:pt idx="0">
                  <c:v>财政拨款收入</c:v>
                </c:pt>
                <c:pt idx="1">
                  <c:v>其他收入</c:v>
                </c:pt>
              </c:strCache>
            </c:strRef>
          </c:cat>
          <c:val>
            <c:numRef>
              <c:f>[饼图.xlsx]Sheet1!$C$7:$D$7</c:f>
              <c:numCache>
                <c:formatCode>General</c:formatCode>
                <c:ptCount val="2"/>
                <c:pt idx="0">
                  <c:v>2311.14</c:v>
                </c:pt>
                <c:pt idx="1">
                  <c:v>9.84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b="1"/>
              <a:t>支出决算</a:t>
            </a:r>
            <a:endParaRPr b="1"/>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[饼图.xlsx]Sheet1!$C$35:$D$35</c:f>
              <c:strCache>
                <c:ptCount val="2"/>
                <c:pt idx="0">
                  <c:v>基本支出</c:v>
                </c:pt>
                <c:pt idx="1">
                  <c:v>项目支出</c:v>
                </c:pt>
              </c:strCache>
            </c:strRef>
          </c:cat>
          <c:val>
            <c:numRef>
              <c:f>[饼图.xlsx]Sheet1!$C$36:$D$36</c:f>
              <c:numCache>
                <c:formatCode>General</c:formatCode>
                <c:ptCount val="2"/>
                <c:pt idx="0">
                  <c:v>1791.11</c:v>
                </c:pt>
                <c:pt idx="1">
                  <c:v>433.8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1"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b="1"/>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3</TotalTime>
  <ScaleCrop>false</ScaleCrop>
  <LinksUpToDate>false</LinksUpToDate>
  <CharactersWithSpaces>5802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2025-09-01T05:29:54Z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