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机构设置、职责</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本单位职责情况：主要职责是为学龄前儿童提供保育和教育服务。</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机构设置情况：北京市农业农村局幼儿园内设机构2个。科室分别为：后勤保障组、业务教学组。</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643.73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20.56</w:t>
      </w:r>
      <w:r>
        <w:rPr>
          <w:rFonts w:hint="eastAsia" w:ascii="仿宋_GB2312" w:eastAsia="仿宋_GB2312"/>
          <w:sz w:val="28"/>
          <w:szCs w:val="28"/>
        </w:rPr>
        <w:t>万元，增长</w:t>
      </w:r>
      <w:r>
        <w:rPr>
          <w:rFonts w:hint="eastAsia" w:ascii="仿宋_GB2312" w:eastAsia="仿宋_GB2312"/>
          <w:sz w:val="28"/>
          <w:szCs w:val="28"/>
          <w:lang w:val="en-US" w:eastAsia="zh-CN"/>
        </w:rPr>
        <w:t>3.34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563.6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69.56</w:t>
      </w:r>
      <w:r>
        <w:rPr>
          <w:rFonts w:hint="eastAsia" w:ascii="仿宋_GB2312" w:eastAsia="仿宋_GB2312"/>
          <w:sz w:val="28"/>
          <w:szCs w:val="28"/>
        </w:rPr>
        <w:t>万元，增长</w:t>
      </w:r>
      <w:r>
        <w:rPr>
          <w:rFonts w:hint="eastAsia" w:ascii="仿宋_GB2312" w:eastAsia="仿宋_GB2312"/>
          <w:sz w:val="28"/>
          <w:szCs w:val="28"/>
          <w:lang w:val="en-US" w:eastAsia="zh-CN"/>
        </w:rPr>
        <w:t>14.08</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563.36</w:t>
      </w:r>
      <w:r>
        <w:rPr>
          <w:rFonts w:hint="eastAsia" w:ascii="仿宋_GB2312" w:eastAsia="仿宋_GB2312"/>
          <w:sz w:val="28"/>
          <w:szCs w:val="28"/>
        </w:rPr>
        <w:t>万元，占收入合计的</w:t>
      </w:r>
      <w:r>
        <w:rPr>
          <w:rFonts w:hint="eastAsia" w:ascii="仿宋_GB2312" w:eastAsia="仿宋_GB2312"/>
          <w:sz w:val="28"/>
          <w:szCs w:val="28"/>
          <w:lang w:eastAsia="zh-CN"/>
        </w:rPr>
        <w:t>99.96%。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563.36</w:t>
      </w:r>
      <w:r>
        <w:rPr>
          <w:rFonts w:hint="eastAsia" w:ascii="仿宋_GB2312" w:eastAsia="仿宋_GB2312"/>
          <w:sz w:val="28"/>
          <w:szCs w:val="28"/>
        </w:rPr>
        <w:t>万元，占收入合计的</w:t>
      </w:r>
      <w:r>
        <w:rPr>
          <w:rFonts w:hint="eastAsia" w:ascii="仿宋_GB2312" w:eastAsia="仿宋_GB2312"/>
          <w:sz w:val="28"/>
          <w:szCs w:val="28"/>
          <w:lang w:eastAsia="zh-CN"/>
        </w:rPr>
        <w:t>99.96</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0.24</w:t>
      </w:r>
      <w:r>
        <w:rPr>
          <w:rFonts w:hint="eastAsia" w:ascii="仿宋_GB2312" w:eastAsia="仿宋_GB2312"/>
          <w:sz w:val="28"/>
          <w:szCs w:val="28"/>
        </w:rPr>
        <w:t>万元，占收入合计的</w:t>
      </w:r>
      <w:r>
        <w:rPr>
          <w:rFonts w:hint="eastAsia" w:ascii="仿宋_GB2312" w:eastAsia="仿宋_GB2312"/>
          <w:sz w:val="28"/>
          <w:szCs w:val="28"/>
          <w:lang w:eastAsia="zh-CN"/>
        </w:rPr>
        <w:t>0.04</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526.27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12.28</w:t>
      </w:r>
      <w:r>
        <w:rPr>
          <w:rFonts w:hint="eastAsia" w:ascii="仿宋_GB2312" w:eastAsia="仿宋_GB2312"/>
          <w:sz w:val="28"/>
          <w:szCs w:val="28"/>
        </w:rPr>
        <w:t>万元，增长</w:t>
      </w:r>
      <w:r>
        <w:rPr>
          <w:rFonts w:hint="eastAsia" w:ascii="仿宋_GB2312" w:eastAsia="仿宋_GB2312"/>
          <w:sz w:val="28"/>
          <w:szCs w:val="28"/>
          <w:lang w:val="en-US" w:eastAsia="zh-CN"/>
        </w:rPr>
        <w:t>2.39</w:t>
      </w:r>
      <w:r>
        <w:rPr>
          <w:rFonts w:hint="eastAsia" w:ascii="仿宋_GB2312" w:eastAsia="仿宋_GB2312"/>
          <w:sz w:val="28"/>
          <w:szCs w:val="28"/>
        </w:rPr>
        <w:t>%，其中：基本支出</w:t>
      </w:r>
      <w:r>
        <w:rPr>
          <w:rFonts w:ascii="仿宋_GB2312" w:eastAsia="仿宋_GB2312"/>
          <w:sz w:val="28"/>
          <w:szCs w:val="28"/>
        </w:rPr>
        <w:t>375.94</w:t>
      </w:r>
      <w:r>
        <w:rPr>
          <w:rFonts w:hint="eastAsia" w:ascii="仿宋_GB2312" w:eastAsia="仿宋_GB2312"/>
          <w:sz w:val="28"/>
          <w:szCs w:val="28"/>
        </w:rPr>
        <w:t>万元，占支出合计的</w:t>
      </w:r>
      <w:r>
        <w:rPr>
          <w:rFonts w:hint="eastAsia" w:ascii="仿宋_GB2312" w:eastAsia="仿宋_GB2312"/>
          <w:sz w:val="28"/>
          <w:szCs w:val="28"/>
          <w:lang w:eastAsia="zh-CN"/>
        </w:rPr>
        <w:t>71.43</w:t>
      </w:r>
      <w:r>
        <w:rPr>
          <w:rFonts w:hint="eastAsia" w:ascii="仿宋_GB2312" w:eastAsia="仿宋_GB2312"/>
          <w:sz w:val="28"/>
          <w:szCs w:val="28"/>
        </w:rPr>
        <w:t>%；项目支出</w:t>
      </w:r>
      <w:r>
        <w:rPr>
          <w:rFonts w:ascii="仿宋_GB2312" w:eastAsia="仿宋_GB2312"/>
          <w:sz w:val="28"/>
          <w:szCs w:val="28"/>
        </w:rPr>
        <w:t>150.33</w:t>
      </w:r>
      <w:r>
        <w:rPr>
          <w:rFonts w:hint="eastAsia" w:ascii="仿宋_GB2312" w:eastAsia="仿宋_GB2312"/>
          <w:sz w:val="28"/>
          <w:szCs w:val="28"/>
        </w:rPr>
        <w:t>万元，占支出合计的</w:t>
      </w:r>
      <w:r>
        <w:rPr>
          <w:rFonts w:hint="eastAsia" w:ascii="仿宋_GB2312" w:eastAsia="仿宋_GB2312"/>
          <w:sz w:val="28"/>
          <w:szCs w:val="28"/>
          <w:lang w:eastAsia="zh-CN"/>
        </w:rPr>
        <w:t>28.57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widowControl/>
        <w:suppressLineNumbers w:val="0"/>
        <w:jc w:val="left"/>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563.36</w:t>
      </w:r>
      <w:r>
        <w:rPr>
          <w:rFonts w:hint="eastAsia" w:ascii="仿宋_GB2312" w:eastAsia="仿宋_GB2312"/>
          <w:sz w:val="28"/>
          <w:szCs w:val="28"/>
        </w:rPr>
        <w:t>万元，</w:t>
      </w:r>
      <w:r>
        <w:rPr>
          <w:rFonts w:hint="eastAsia" w:ascii="仿宋_GB2312" w:eastAsia="仿宋_GB2312"/>
          <w:color w:val="000000" w:themeColor="text1"/>
          <w:sz w:val="28"/>
          <w:szCs w:val="28"/>
          <w:highlight w:val="none"/>
          <w14:textFill>
            <w14:solidFill>
              <w14:schemeClr w14:val="tx1"/>
            </w14:solidFill>
          </w14:textFill>
        </w:rPr>
        <w:t>比上年</w:t>
      </w:r>
      <w:r>
        <w:rPr>
          <w:rFonts w:ascii="仿宋_GB2312" w:eastAsia="仿宋_GB2312"/>
          <w:color w:val="000000" w:themeColor="text1"/>
          <w:sz w:val="28"/>
          <w:szCs w:val="28"/>
          <w:highlight w:val="none"/>
          <w14:textFill>
            <w14:solidFill>
              <w14:schemeClr w14:val="tx1"/>
            </w14:solidFill>
          </w14:textFill>
        </w:rPr>
        <w:t>增加</w:t>
      </w:r>
      <w:r>
        <w:rPr>
          <w:rFonts w:hint="eastAsia" w:ascii="仿宋_GB2312" w:eastAsia="仿宋_GB2312"/>
          <w:color w:val="000000" w:themeColor="text1"/>
          <w:sz w:val="28"/>
          <w:szCs w:val="28"/>
          <w:highlight w:val="none"/>
          <w:lang w:val="en-US" w:eastAsia="zh-CN"/>
          <w14:textFill>
            <w14:solidFill>
              <w14:schemeClr w14:val="tx1"/>
            </w14:solidFill>
          </w14:textFill>
        </w:rPr>
        <w:t>181.01</w:t>
      </w:r>
      <w:r>
        <w:rPr>
          <w:rFonts w:hint="eastAsia" w:ascii="仿宋_GB2312" w:eastAsia="仿宋_GB2312"/>
          <w:color w:val="000000" w:themeColor="text1"/>
          <w:sz w:val="28"/>
          <w:szCs w:val="28"/>
          <w:highlight w:val="none"/>
          <w14:textFill>
            <w14:solidFill>
              <w14:schemeClr w14:val="tx1"/>
            </w14:solidFill>
          </w14:textFill>
        </w:rPr>
        <w:t>万元，增长</w:t>
      </w:r>
      <w:r>
        <w:rPr>
          <w:rFonts w:hint="eastAsia" w:ascii="仿宋_GB2312" w:eastAsia="仿宋_GB2312"/>
          <w:color w:val="000000" w:themeColor="text1"/>
          <w:sz w:val="28"/>
          <w:szCs w:val="28"/>
          <w:highlight w:val="none"/>
          <w:lang w:val="en-US" w:eastAsia="zh-CN"/>
          <w14:textFill>
            <w14:solidFill>
              <w14:schemeClr w14:val="tx1"/>
            </w14:solidFill>
          </w14:textFill>
        </w:rPr>
        <w:t>47.34%</w:t>
      </w:r>
      <w:r>
        <w:rPr>
          <w:rFonts w:hint="eastAsia" w:ascii="仿宋_GB2312" w:eastAsia="仿宋_GB2312"/>
          <w:sz w:val="28"/>
          <w:szCs w:val="28"/>
        </w:rPr>
        <w:t>。</w:t>
      </w:r>
      <w:r>
        <w:rPr>
          <w:rFonts w:hint="eastAsia" w:ascii="仿宋_GB2312" w:eastAsia="仿宋_GB2312"/>
          <w:color w:val="000000" w:themeColor="text1"/>
          <w:sz w:val="28"/>
          <w:szCs w:val="28"/>
          <w:highlight w:val="none"/>
          <w14:textFill>
            <w14:solidFill>
              <w14:schemeClr w14:val="tx1"/>
            </w14:solidFill>
          </w14:textFill>
        </w:rPr>
        <w:t>主要原因：</w:t>
      </w:r>
      <w:r>
        <w:rPr>
          <w:rFonts w:hint="eastAsia" w:ascii="仿宋_GB2312" w:eastAsia="仿宋_GB2312"/>
          <w:color w:val="000000" w:themeColor="text1"/>
          <w:sz w:val="28"/>
          <w:szCs w:val="28"/>
          <w:highlight w:val="none"/>
          <w:lang w:val="en-US" w:eastAsia="zh-CN"/>
          <w14:textFill>
            <w14:solidFill>
              <w14:schemeClr w14:val="tx1"/>
            </w14:solidFill>
          </w14:textFill>
        </w:rPr>
        <w:t>2023年优先使用单位自有资金保障项目实施，年末已完成自有资金消化任务，2024年起相关项目经费按规定纳入财政资金保障范围。</w:t>
      </w:r>
      <w:bookmarkStart w:id="0" w:name="_GoBack"/>
      <w:bookmarkEnd w:id="0"/>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年度一般公共预算财政拨款支出517.79万元，主要用于以下方面（按大类）：教育支出</w:t>
      </w:r>
      <w:r>
        <w:rPr>
          <w:rFonts w:hint="eastAsia" w:ascii="仿宋_GB2312" w:eastAsia="仿宋_GB2312"/>
          <w:sz w:val="28"/>
          <w:szCs w:val="28"/>
          <w:lang w:val="en-US" w:eastAsia="zh-CN"/>
        </w:rPr>
        <w:t>450.86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87.07</w:t>
      </w:r>
      <w:r>
        <w:rPr>
          <w:rFonts w:hint="eastAsia" w:ascii="仿宋_GB2312" w:eastAsia="仿宋_GB2312"/>
          <w:sz w:val="28"/>
          <w:szCs w:val="28"/>
        </w:rPr>
        <w:t xml:space="preserve">%；社会保障和就业支出 </w:t>
      </w:r>
      <w:r>
        <w:rPr>
          <w:rFonts w:hint="eastAsia" w:ascii="仿宋_GB2312" w:eastAsia="仿宋_GB2312"/>
          <w:sz w:val="28"/>
          <w:szCs w:val="28"/>
          <w:lang w:val="en-US" w:eastAsia="zh-CN"/>
        </w:rPr>
        <w:t>49.25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9.51</w:t>
      </w:r>
      <w:r>
        <w:rPr>
          <w:rFonts w:hint="eastAsia" w:ascii="仿宋_GB2312" w:eastAsia="仿宋_GB2312"/>
          <w:sz w:val="28"/>
          <w:szCs w:val="28"/>
        </w:rPr>
        <w:t>%；卫生健康支出</w:t>
      </w:r>
      <w:r>
        <w:rPr>
          <w:rFonts w:hint="eastAsia" w:ascii="仿宋_GB2312" w:eastAsia="仿宋_GB2312"/>
          <w:sz w:val="28"/>
          <w:szCs w:val="28"/>
          <w:lang w:val="en-US" w:eastAsia="zh-CN"/>
        </w:rPr>
        <w:t>17.68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3.41</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474.74</w:t>
      </w:r>
      <w:r>
        <w:rPr>
          <w:rFonts w:hint="eastAsia" w:ascii="仿宋_GB2312" w:eastAsia="仿宋_GB2312"/>
          <w:sz w:val="28"/>
          <w:szCs w:val="28"/>
        </w:rPr>
        <w:t>万元</w:t>
      </w:r>
      <w:r>
        <w:rPr>
          <w:rFonts w:hint="default" w:ascii="仿宋_GB2312" w:eastAsia="仿宋_GB2312"/>
          <w:sz w:val="28"/>
          <w:szCs w:val="28"/>
          <w:lang w:val="e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450.86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23.88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94.97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473.94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450.86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95.13</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落实政府过紧日子的要求，压减和严控一般性支出。</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落实政府过紧日子的要求，压减和严控一般性支出。</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69.09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49.25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71.28</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69.09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49.25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71.28</w:t>
      </w:r>
      <w:r>
        <w:rPr>
          <w:rFonts w:hint="eastAsia" w:ascii="仿宋_GB2312" w:eastAsia="仿宋_GB2312"/>
          <w:sz w:val="28"/>
          <w:szCs w:val="28"/>
        </w:rPr>
        <w:t>%。主要原因：</w:t>
      </w:r>
      <w:r>
        <w:rPr>
          <w:rFonts w:hint="eastAsia" w:ascii="仿宋_GB2312" w:eastAsia="仿宋_GB2312"/>
          <w:sz w:val="28"/>
          <w:szCs w:val="28"/>
          <w:lang w:eastAsia="zh-CN"/>
        </w:rPr>
        <w:t>按照实际缴费情况缴纳职工基本养老保险和职业年金。</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90.57</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90.57</w:t>
      </w:r>
      <w:r>
        <w:rPr>
          <w:rFonts w:hint="eastAsia" w:ascii="仿宋_GB2312" w:eastAsia="仿宋_GB2312"/>
          <w:sz w:val="28"/>
          <w:szCs w:val="28"/>
        </w:rPr>
        <w:t>%。主要原因：</w:t>
      </w:r>
      <w:r>
        <w:rPr>
          <w:rFonts w:hint="eastAsia" w:ascii="仿宋_GB2312" w:eastAsia="仿宋_GB2312"/>
          <w:sz w:val="28"/>
          <w:szCs w:val="28"/>
          <w:lang w:eastAsia="zh-CN"/>
        </w:rPr>
        <w:t>按照实际缴费情况缴纳职工医疗保险</w:t>
      </w:r>
      <w:r>
        <w:rPr>
          <w:rFonts w:hint="eastAsia" w:ascii="仿宋_GB2312" w:eastAsia="仿宋_GB2312"/>
          <w:sz w:val="28"/>
          <w:szCs w:val="28"/>
        </w:rPr>
        <w:t>。</w:t>
      </w:r>
    </w:p>
    <w:p>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375.93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本单位无此项支出。</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我单位不在机关运行经费统计范围之内。</w:t>
      </w:r>
    </w:p>
    <w:p>
      <w:pPr>
        <w:ind w:firstLine="537" w:firstLineChars="192"/>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4.57</w:t>
      </w:r>
      <w:r>
        <w:rPr>
          <w:rFonts w:hint="eastAsia" w:ascii="仿宋_GB2312" w:eastAsia="仿宋_GB2312"/>
          <w:sz w:val="28"/>
          <w:szCs w:val="28"/>
        </w:rPr>
        <w:t>万元，其中：政府采购货物支出</w:t>
      </w:r>
      <w:r>
        <w:rPr>
          <w:rFonts w:ascii="仿宋_GB2312" w:eastAsia="仿宋_GB2312"/>
          <w:sz w:val="28"/>
          <w:szCs w:val="28"/>
        </w:rPr>
        <w:t>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1.57</w:t>
      </w:r>
      <w:r>
        <w:rPr>
          <w:rFonts w:hint="eastAsia" w:ascii="仿宋_GB2312" w:eastAsia="仿宋_GB2312"/>
          <w:sz w:val="28"/>
          <w:szCs w:val="28"/>
        </w:rPr>
        <w:t>万元。授予中小企业合同金额</w:t>
      </w:r>
      <w:r>
        <w:rPr>
          <w:rFonts w:ascii="仿宋_GB2312" w:eastAsia="仿宋_GB2312"/>
          <w:sz w:val="28"/>
          <w:szCs w:val="28"/>
        </w:rPr>
        <w:t>4.57</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4.57</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12月31日，北京市农业农村局幼儿园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7.教育支出（类）普通教育（款）学前教育（项）：反映各部门举办的学前教育支出。</w:t>
      </w:r>
    </w:p>
    <w:p>
      <w:pPr>
        <w:ind w:firstLine="420" w:firstLineChars="150"/>
        <w:rPr>
          <w:rFonts w:hint="eastAsia"/>
        </w:rPr>
      </w:pPr>
      <w:r>
        <w:rPr>
          <w:rFonts w:hint="eastAsia" w:ascii="仿宋_GB2312" w:eastAsia="仿宋_GB2312"/>
          <w:sz w:val="28"/>
          <w:szCs w:val="28"/>
          <w:lang w:val="en-US" w:eastAsia="zh-CN"/>
        </w:rPr>
        <w:t>8.</w:t>
      </w:r>
      <w:r>
        <w:rPr>
          <w:rFonts w:hint="default" w:ascii="仿宋_GB2312" w:eastAsia="仿宋_GB2312"/>
          <w:sz w:val="28"/>
          <w:szCs w:val="28"/>
          <w:lang w:val="en" w:eastAsia="zh-CN"/>
        </w:rPr>
        <w:t>教育支出</w:t>
      </w:r>
      <w:r>
        <w:rPr>
          <w:rFonts w:hint="eastAsia" w:ascii="仿宋_GB2312" w:eastAsia="仿宋_GB2312"/>
          <w:sz w:val="28"/>
          <w:szCs w:val="28"/>
          <w:lang w:val="en" w:eastAsia="zh-CN"/>
        </w:rPr>
        <w:t>（类）</w:t>
      </w:r>
      <w:r>
        <w:rPr>
          <w:rFonts w:hint="eastAsia" w:ascii="仿宋_GB2312" w:eastAsia="仿宋_GB2312"/>
          <w:sz w:val="28"/>
          <w:szCs w:val="28"/>
          <w:lang w:val="en-US" w:eastAsia="zh-CN"/>
        </w:rPr>
        <w:t>进修及培训（款）</w:t>
      </w:r>
      <w:r>
        <w:rPr>
          <w:rFonts w:hint="default" w:ascii="仿宋_GB2312" w:eastAsia="仿宋_GB2312"/>
          <w:sz w:val="28"/>
          <w:szCs w:val="28"/>
          <w:lang w:val="en" w:eastAsia="zh-CN"/>
        </w:rPr>
        <w:t>培训支出</w:t>
      </w:r>
      <w:r>
        <w:rPr>
          <w:rFonts w:hint="eastAsia" w:ascii="仿宋_GB2312" w:eastAsia="仿宋_GB2312"/>
          <w:sz w:val="28"/>
          <w:szCs w:val="28"/>
          <w:lang w:val="en" w:eastAsia="zh-CN"/>
        </w:rPr>
        <w:t>（项）：反映各部门安排的用于培训的支出。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.社会保障和就业支出（类）行政事业单位养老支出（款）事业单位离退休（项）：反映事业单位开支的离退休经费。</w:t>
      </w:r>
    </w:p>
    <w:p>
      <w:pPr>
        <w:ind w:firstLine="420" w:firstLineChars="150"/>
        <w:rPr>
          <w:rFonts w:hint="eastAsia"/>
        </w:rPr>
      </w:pPr>
      <w:r>
        <w:rPr>
          <w:rFonts w:hint="eastAsia" w:ascii="仿宋_GB2312" w:hAnsi="宋体" w:eastAsia="仿宋_GB2312"/>
          <w:sz w:val="28"/>
          <w:szCs w:val="28"/>
          <w:lang w:val="en-US" w:eastAsia="zh-CN"/>
        </w:rPr>
        <w:t>10.</w:t>
      </w:r>
      <w:r>
        <w:rPr>
          <w:rFonts w:hint="default" w:ascii="仿宋_GB2312" w:hAnsi="宋体" w:eastAsia="仿宋_GB2312"/>
          <w:sz w:val="28"/>
          <w:szCs w:val="28"/>
          <w:lang w:val="en-US" w:eastAsia="zh-CN"/>
        </w:rPr>
        <w:t>卫生健康支出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行政事业单位医疗（款）事业单位医疗</w:t>
      </w:r>
      <w:r>
        <w:rPr>
          <w:rFonts w:hint="eastAsia" w:ascii="仿宋_GB2312" w:hAnsi="宋体" w:eastAsia="仿宋_GB2312"/>
          <w:sz w:val="28"/>
          <w:szCs w:val="28"/>
          <w:lang w:val="en" w:eastAsia="zh-CN"/>
        </w:rPr>
        <w:t>（项）</w:t>
      </w:r>
      <w:r>
        <w:rPr>
          <w:rFonts w:hint="eastAsia" w:ascii="仿宋_GB2312" w:hAnsi="宋体" w:eastAsia="仿宋_GB2312"/>
          <w:sz w:val="28"/>
          <w:szCs w:val="28"/>
          <w:lang w:val="en-US" w:eastAsia="zh-CN"/>
        </w:rPr>
        <w:t>：反映财政部门安排的事业单位基本医疗保险缴</w:t>
      </w:r>
      <w:r>
        <w:rPr>
          <w:rFonts w:hint="eastAsia" w:ascii="仿宋_GB2312" w:eastAsia="仿宋_GB2312"/>
          <w:sz w:val="28"/>
          <w:szCs w:val="28"/>
          <w:lang w:val="en-US" w:eastAsia="zh-CN"/>
        </w:rPr>
        <w:t>费经费，未参加医疗保险的事业单位的公费医疗经费，按国家规定享受离休人员待遇的医疗经费。</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sans-serif">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B82F44"/>
    <w:multiLevelType w:val="singleLevel"/>
    <w:tmpl w:val="FFB82F44"/>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85915B"/>
    <w:rsid w:val="14B73493"/>
    <w:rsid w:val="167A2FF9"/>
    <w:rsid w:val="18581C69"/>
    <w:rsid w:val="18E7DF30"/>
    <w:rsid w:val="1AEC0734"/>
    <w:rsid w:val="1BD16E8C"/>
    <w:rsid w:val="1DEF20B0"/>
    <w:rsid w:val="214243FA"/>
    <w:rsid w:val="21AD613C"/>
    <w:rsid w:val="22467189"/>
    <w:rsid w:val="257A14F5"/>
    <w:rsid w:val="27196C26"/>
    <w:rsid w:val="29EF086F"/>
    <w:rsid w:val="2AFF9590"/>
    <w:rsid w:val="2EFFE297"/>
    <w:rsid w:val="301437CA"/>
    <w:rsid w:val="349D1F0A"/>
    <w:rsid w:val="34DD0473"/>
    <w:rsid w:val="392F17D9"/>
    <w:rsid w:val="3C684897"/>
    <w:rsid w:val="3E754CBA"/>
    <w:rsid w:val="3FE3FC36"/>
    <w:rsid w:val="3FFF343C"/>
    <w:rsid w:val="3FFFC5FE"/>
    <w:rsid w:val="433E495C"/>
    <w:rsid w:val="489F2FD7"/>
    <w:rsid w:val="4AC27CB3"/>
    <w:rsid w:val="4BF72BEF"/>
    <w:rsid w:val="4FA90297"/>
    <w:rsid w:val="4FC41A43"/>
    <w:rsid w:val="51DB3C59"/>
    <w:rsid w:val="53F3A326"/>
    <w:rsid w:val="550C0952"/>
    <w:rsid w:val="55762E42"/>
    <w:rsid w:val="557F5E05"/>
    <w:rsid w:val="575D124E"/>
    <w:rsid w:val="57A7B272"/>
    <w:rsid w:val="58470068"/>
    <w:rsid w:val="58747CAC"/>
    <w:rsid w:val="5A1720F9"/>
    <w:rsid w:val="5B9C37C2"/>
    <w:rsid w:val="5BA7C654"/>
    <w:rsid w:val="5D7D020A"/>
    <w:rsid w:val="5F9B7E2F"/>
    <w:rsid w:val="5FF2864E"/>
    <w:rsid w:val="5FFFE05B"/>
    <w:rsid w:val="60A54109"/>
    <w:rsid w:val="61D01CDF"/>
    <w:rsid w:val="64C0607C"/>
    <w:rsid w:val="65756C86"/>
    <w:rsid w:val="674D385B"/>
    <w:rsid w:val="676F09E1"/>
    <w:rsid w:val="6EF4BA29"/>
    <w:rsid w:val="6EF72863"/>
    <w:rsid w:val="6F343AC0"/>
    <w:rsid w:val="71793A80"/>
    <w:rsid w:val="7357290B"/>
    <w:rsid w:val="74FE3C9A"/>
    <w:rsid w:val="797D6043"/>
    <w:rsid w:val="798524E4"/>
    <w:rsid w:val="7A7F1C49"/>
    <w:rsid w:val="7ADD5EC6"/>
    <w:rsid w:val="7B5B7AE6"/>
    <w:rsid w:val="7B7B6628"/>
    <w:rsid w:val="7BA7071E"/>
    <w:rsid w:val="7BDF6DA8"/>
    <w:rsid w:val="7BEB2A6F"/>
    <w:rsid w:val="7BEEB187"/>
    <w:rsid w:val="7C7EDC1A"/>
    <w:rsid w:val="7CBF883D"/>
    <w:rsid w:val="7CCED98D"/>
    <w:rsid w:val="7D08410F"/>
    <w:rsid w:val="7DB96DED"/>
    <w:rsid w:val="7DD3AD81"/>
    <w:rsid w:val="7E7B2383"/>
    <w:rsid w:val="7F3EA00D"/>
    <w:rsid w:val="7F7B60EF"/>
    <w:rsid w:val="7F7FE70F"/>
    <w:rsid w:val="7FEE7616"/>
    <w:rsid w:val="7FFBAF22"/>
    <w:rsid w:val="7FFF772F"/>
    <w:rsid w:val="95F35EF6"/>
    <w:rsid w:val="9BFFD860"/>
    <w:rsid w:val="9D730193"/>
    <w:rsid w:val="9F7F74A7"/>
    <w:rsid w:val="AC5F73DE"/>
    <w:rsid w:val="AFDF8C6E"/>
    <w:rsid w:val="B5DDD2C8"/>
    <w:rsid w:val="B9DFABD9"/>
    <w:rsid w:val="BC0D83FC"/>
    <w:rsid w:val="BDB3AE86"/>
    <w:rsid w:val="BDDB14EE"/>
    <w:rsid w:val="BF3BDEFB"/>
    <w:rsid w:val="C75F6086"/>
    <w:rsid w:val="C7F7ED2D"/>
    <w:rsid w:val="CDAEB813"/>
    <w:rsid w:val="CFAF854E"/>
    <w:rsid w:val="D7B9D7E9"/>
    <w:rsid w:val="D8D7928E"/>
    <w:rsid w:val="D8FE3136"/>
    <w:rsid w:val="DB7B4047"/>
    <w:rsid w:val="DDDE60B7"/>
    <w:rsid w:val="DDE7FE69"/>
    <w:rsid w:val="DE9F6A22"/>
    <w:rsid w:val="DF4FCE6A"/>
    <w:rsid w:val="DFDE82CF"/>
    <w:rsid w:val="E1AE52EE"/>
    <w:rsid w:val="E4FED278"/>
    <w:rsid w:val="E7D90E96"/>
    <w:rsid w:val="E9C3BA32"/>
    <w:rsid w:val="EB8E2971"/>
    <w:rsid w:val="EDAA365C"/>
    <w:rsid w:val="EDADFC12"/>
    <w:rsid w:val="EFEA63D5"/>
    <w:rsid w:val="F2FD229B"/>
    <w:rsid w:val="F3FF83F7"/>
    <w:rsid w:val="F567CEFA"/>
    <w:rsid w:val="F7F709E9"/>
    <w:rsid w:val="F7FF3690"/>
    <w:rsid w:val="F87FBBC4"/>
    <w:rsid w:val="F9BD3900"/>
    <w:rsid w:val="FAF3C27B"/>
    <w:rsid w:val="FBEDD5CF"/>
    <w:rsid w:val="FC8B9876"/>
    <w:rsid w:val="FCBB479D"/>
    <w:rsid w:val="FDBFDA23"/>
    <w:rsid w:val="FE7E4C81"/>
    <w:rsid w:val="FEDFF218"/>
    <w:rsid w:val="FEDFFFFF"/>
    <w:rsid w:val="FEFF9661"/>
    <w:rsid w:val="FEFFBE32"/>
    <w:rsid w:val="FFB279D9"/>
    <w:rsid w:val="FFFB44DE"/>
    <w:rsid w:val="FFFFF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1"/>
              <c:delete val="true"/>
            </c:dLbl>
            <c:dLbl>
              <c:idx val="2"/>
              <c:delete val="true"/>
            </c:dLbl>
            <c:dLbl>
              <c:idx val="3"/>
              <c:delete val="true"/>
            </c:dLbl>
            <c:dLbl>
              <c:idx val="4"/>
              <c:delete val="true"/>
            </c:dLbl>
            <c:dLbl>
              <c:idx val="5"/>
              <c:layout>
                <c:manualLayout>
                  <c:x val="-0.137116206544297"/>
                  <c:y val="-0.0106172647184777"/>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563.36</c:v>
                </c:pt>
                <c:pt idx="1">
                  <c:v>0</c:v>
                </c:pt>
                <c:pt idx="2">
                  <c:v>0</c:v>
                </c:pt>
                <c:pt idx="3">
                  <c:v>0</c:v>
                </c:pt>
                <c:pt idx="4">
                  <c:v>0</c:v>
                </c:pt>
                <c:pt idx="5">
                  <c:v>0.24</c:v>
                </c:pt>
              </c:numCache>
            </c:numRef>
          </c:val>
        </c:ser>
        <c:dLbls>
          <c:showLegendKey val="false"/>
          <c:showVal val="true"/>
          <c:showCatName val="false"/>
          <c:showSerName val="false"/>
          <c:showPercent val="false"/>
          <c:showBubbleSize val="false"/>
          <c:showLeaderLines val="true"/>
        </c:dLbls>
        <c:firstSliceAng val="0"/>
      </c:pieChart>
    </c:plotArea>
    <c:legend>
      <c:legendPos val="r"/>
      <c:legendEntry>
        <c:idx val="1"/>
        <c:delete val="true"/>
      </c:legendEntry>
      <c:legendEntry>
        <c:idx val="2"/>
        <c:delete val="true"/>
      </c:legendEntry>
      <c:legendEntry>
        <c:idx val="3"/>
        <c:delete val="true"/>
      </c:legendEntry>
      <c:legendEntry>
        <c:idx val="4"/>
        <c:delete val="true"/>
      </c:legendEntry>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375.94</c:v>
                </c:pt>
                <c:pt idx="1">
                  <c:v>150.33</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delete val="true"/>
      </c:legendEntry>
      <c:legendEntry>
        <c:idx val="3"/>
        <c:delete val="true"/>
      </c:legendEntry>
      <c:legendEntry>
        <c:idx val="4"/>
        <c:delete val="true"/>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112</TotalTime>
  <ScaleCrop>false</ScaleCrop>
  <LinksUpToDate>false</LinksUpToDate>
  <CharactersWithSpaces>5802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2017-07-14T07:16:00Z</dcterms:created>
  <dc:creator>常程</dc:creator>
  <cp:lastModifiedBy>nyncj</cp:lastModifiedBy>
  <cp:lastPrinted>2020-08-10T03:39:00Z</cp:lastPrinted>
  <dcterms:modified xsi:type="dcterms:W3CDTF">2025-09-08T09:17:41Z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