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numPr>
          <w:ilvl w:val="0"/>
          <w:numId w:val="0"/>
        </w:num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北京市农业综合执法总队为市农业农村局管理的正处级行政执法机构。根据</w:t>
      </w:r>
      <w:r>
        <w:rPr>
          <w:rFonts w:ascii="仿宋_GB2312" w:eastAsia="仿宋_GB2312"/>
          <w:sz w:val="28"/>
          <w:szCs w:val="28"/>
        </w:rPr>
        <w:t>《中共北京市委机构编制委员会关于北京市农业综合执法总队职责机构编制事项的通知》（京编委〔2020〕18号）</w:t>
      </w:r>
      <w:r>
        <w:rPr>
          <w:rFonts w:hint="eastAsia" w:ascii="仿宋_GB2312" w:eastAsia="仿宋_GB2312"/>
          <w:sz w:val="28"/>
          <w:szCs w:val="28"/>
        </w:rPr>
        <w:t>设立。根据《关于划转部分城区动物卫生监督所职责机构编制的通知》（京编办发〔2024〕18号）文件，市农业综合执法总队划入东城区、西城区、石景山区动物卫生监督所的全部职责，实行市和三个城区统一执法。内设科室、支队共18个，分别为：党办（办公室）、人事科、法制科、计划财务科、第一支队（种植监督执法支队）、第二支队（畜牧监督执法支队）、第三支队（渔政监督执法支队）、第四支队（农机监督执法支队）、第五支队（动卫监督执法支队）、第六支队（医药监督执法支队）、第七支队（农安监督执法支队）、第八支队（农宅土地监督执法支队）、第九支队（执法监督支队）、第十支队 （数字与技术执法支队）、第十一支队（应急保障支队）、第十二支队（东城执法支队）、第十三支队（西城执法支队）、第十四支队（石景山执法支队）。</w:t>
      </w:r>
    </w:p>
    <w:p>
      <w:pPr>
        <w:numPr>
          <w:ilvl w:val="0"/>
          <w:numId w:val="0"/>
        </w:num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主要职责：</w:t>
      </w:r>
      <w:r>
        <w:rPr>
          <w:rFonts w:ascii="仿宋_GB2312" w:eastAsia="仿宋_GB2312"/>
          <w:sz w:val="28"/>
          <w:szCs w:val="28"/>
        </w:rPr>
        <w:t>负责集中行使法律、法规、规章规定应由省级农业农村部门行使的行政处罚权以及与之相关的行政检查、行政强制权。负责相关领域重大疑难复杂案件和跨区域案件的查处工作。负责监督、指导、组织、协调各区农业综合执法工作。完成市委、市政府和市委农工委、市农业农村局交办的其他任务。</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2024年度收、支总计6612.51万元，比上年增加4</w:t>
      </w:r>
      <w:r>
        <w:rPr>
          <w:rFonts w:ascii="仿宋_GB2312" w:eastAsia="仿宋_GB2312"/>
          <w:sz w:val="28"/>
          <w:szCs w:val="28"/>
        </w:rPr>
        <w:t>44.38</w:t>
      </w:r>
      <w:r>
        <w:rPr>
          <w:rFonts w:hint="eastAsia" w:ascii="仿宋_GB2312" w:eastAsia="仿宋_GB2312"/>
          <w:sz w:val="28"/>
          <w:szCs w:val="28"/>
        </w:rPr>
        <w:t>万元，增长7</w:t>
      </w:r>
      <w:r>
        <w:rPr>
          <w:rFonts w:ascii="仿宋_GB2312" w:eastAsia="仿宋_GB2312"/>
          <w:sz w:val="28"/>
          <w:szCs w:val="28"/>
        </w:rPr>
        <w:t>.20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6387.3</w:t>
      </w:r>
      <w:r>
        <w:rPr>
          <w:rFonts w:hint="eastAsia" w:ascii="仿宋_GB2312" w:eastAsia="仿宋_GB2312"/>
          <w:sz w:val="28"/>
          <w:szCs w:val="28"/>
          <w:lang w:val="en-US" w:eastAsia="zh-CN"/>
        </w:rPr>
        <w:t>0</w:t>
      </w:r>
      <w:r>
        <w:rPr>
          <w:rFonts w:hint="eastAsia" w:ascii="仿宋_GB2312" w:eastAsia="仿宋_GB2312"/>
          <w:sz w:val="28"/>
          <w:szCs w:val="28"/>
        </w:rPr>
        <w:t>万元，比上年增加4</w:t>
      </w:r>
      <w:r>
        <w:rPr>
          <w:rFonts w:ascii="仿宋_GB2312" w:eastAsia="仿宋_GB2312"/>
          <w:sz w:val="28"/>
          <w:szCs w:val="28"/>
        </w:rPr>
        <w:t>82.25</w:t>
      </w:r>
      <w:r>
        <w:rPr>
          <w:rFonts w:hint="eastAsia" w:ascii="仿宋_GB2312" w:eastAsia="仿宋_GB2312"/>
          <w:sz w:val="28"/>
          <w:szCs w:val="28"/>
        </w:rPr>
        <w:t>万元，增长8</w:t>
      </w:r>
      <w:r>
        <w:rPr>
          <w:rFonts w:ascii="仿宋_GB2312" w:eastAsia="仿宋_GB2312"/>
          <w:sz w:val="28"/>
          <w:szCs w:val="28"/>
        </w:rPr>
        <w:t>.17</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6293.74</w:t>
      </w:r>
      <w:r>
        <w:rPr>
          <w:rFonts w:hint="eastAsia" w:ascii="仿宋_GB2312" w:eastAsia="仿宋_GB2312"/>
          <w:sz w:val="28"/>
          <w:szCs w:val="28"/>
        </w:rPr>
        <w:t>万元，占收入合计的</w:t>
      </w:r>
      <w:r>
        <w:rPr>
          <w:rFonts w:hint="eastAsia" w:ascii="仿宋_GB2312" w:eastAsia="仿宋_GB2312"/>
          <w:sz w:val="28"/>
          <w:szCs w:val="28"/>
          <w:lang w:eastAsia="zh-CN"/>
        </w:rPr>
        <w:t>98.54%。</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6293.74</w:t>
      </w:r>
      <w:r>
        <w:rPr>
          <w:rFonts w:hint="eastAsia" w:ascii="仿宋_GB2312" w:eastAsia="仿宋_GB2312"/>
          <w:sz w:val="28"/>
          <w:szCs w:val="28"/>
        </w:rPr>
        <w:t>万元，占收入合计的</w:t>
      </w:r>
      <w:r>
        <w:rPr>
          <w:rFonts w:hint="eastAsia" w:ascii="仿宋_GB2312" w:eastAsia="仿宋_GB2312"/>
          <w:sz w:val="28"/>
          <w:szCs w:val="28"/>
          <w:lang w:eastAsia="zh-CN"/>
        </w:rPr>
        <w:t>98.54</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lang w:val="en-US" w:eastAsia="zh-CN"/>
        </w:rPr>
        <w:t>.00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lang w:val="en-US" w:eastAsia="zh-CN"/>
        </w:rPr>
        <w:t>.00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w:t>
      </w:r>
    </w:p>
    <w:p>
      <w:pPr>
        <w:tabs>
          <w:tab w:val="center" w:pos="6979"/>
        </w:tabs>
        <w:spacing w:line="580" w:lineRule="exact"/>
        <w:ind w:firstLine="560" w:firstLineChars="200"/>
        <w:rPr>
          <w:rFonts w:hint="eastAsia" w:ascii="仿宋_GB2312" w:eastAsia="仿宋_GB2312" w:cs="Droid Sans"/>
          <w:color w:val="000000"/>
          <w:sz w:val="32"/>
          <w:szCs w:val="32"/>
          <w:highlight w:val="none"/>
          <w:lang w:eastAsia="zh-CN"/>
        </w:rPr>
      </w:pPr>
      <w:r>
        <w:rPr>
          <w:rFonts w:hint="eastAsia" w:ascii="仿宋_GB2312" w:eastAsia="仿宋_GB2312"/>
          <w:sz w:val="28"/>
          <w:szCs w:val="28"/>
        </w:rPr>
        <w:t>6.其他收入</w:t>
      </w:r>
      <w:r>
        <w:rPr>
          <w:rFonts w:ascii="仿宋_GB2312" w:eastAsia="仿宋_GB2312"/>
          <w:sz w:val="28"/>
          <w:szCs w:val="28"/>
        </w:rPr>
        <w:t>93.56</w:t>
      </w:r>
      <w:r>
        <w:rPr>
          <w:rFonts w:hint="eastAsia" w:ascii="仿宋_GB2312" w:eastAsia="仿宋_GB2312"/>
          <w:sz w:val="28"/>
          <w:szCs w:val="28"/>
        </w:rPr>
        <w:t>万元，占收入合计的</w:t>
      </w:r>
      <w:r>
        <w:rPr>
          <w:rFonts w:hint="eastAsia" w:ascii="仿宋_GB2312" w:eastAsia="仿宋_GB2312"/>
          <w:sz w:val="28"/>
          <w:szCs w:val="28"/>
          <w:lang w:eastAsia="zh-CN"/>
        </w:rPr>
        <w:t>1.46</w:t>
      </w:r>
      <w:r>
        <w:rPr>
          <w:rFonts w:hint="eastAsia" w:ascii="仿宋_GB2312" w:eastAsia="仿宋_GB2312"/>
          <w:sz w:val="28"/>
          <w:szCs w:val="28"/>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4445" t="4445" r="16510" b="1016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2024年度本年支出合计6223.29万元，比上年增加3</w:t>
      </w:r>
      <w:r>
        <w:rPr>
          <w:rFonts w:ascii="仿宋_GB2312" w:eastAsia="仿宋_GB2312"/>
          <w:sz w:val="28"/>
          <w:szCs w:val="28"/>
        </w:rPr>
        <w:t>56.47</w:t>
      </w:r>
      <w:r>
        <w:rPr>
          <w:rFonts w:hint="eastAsia" w:ascii="仿宋_GB2312" w:eastAsia="仿宋_GB2312"/>
          <w:sz w:val="28"/>
          <w:szCs w:val="28"/>
        </w:rPr>
        <w:t>万元，增长6</w:t>
      </w:r>
      <w:r>
        <w:rPr>
          <w:rFonts w:ascii="仿宋_GB2312" w:eastAsia="仿宋_GB2312"/>
          <w:sz w:val="28"/>
          <w:szCs w:val="28"/>
        </w:rPr>
        <w:t>.08</w:t>
      </w:r>
      <w:r>
        <w:rPr>
          <w:rFonts w:hint="eastAsia" w:ascii="仿宋_GB2312" w:eastAsia="仿宋_GB2312"/>
          <w:sz w:val="28"/>
          <w:szCs w:val="28"/>
        </w:rPr>
        <w:t>%，其中：基本支出5839.91万元，占支出合计的93.84%；项目支出383.38万元，占支出合计的6.16%;上缴上级支出</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2024年度财政拨款收、支总计6300.44万元，比上年增加4</w:t>
      </w:r>
      <w:r>
        <w:rPr>
          <w:rFonts w:ascii="仿宋_GB2312" w:eastAsia="仿宋_GB2312"/>
          <w:sz w:val="28"/>
          <w:szCs w:val="28"/>
        </w:rPr>
        <w:t>26</w:t>
      </w:r>
      <w:bookmarkStart w:id="0" w:name="_GoBack"/>
      <w:bookmarkEnd w:id="0"/>
      <w:r>
        <w:rPr>
          <w:rFonts w:ascii="仿宋_GB2312" w:eastAsia="仿宋_GB2312"/>
          <w:sz w:val="28"/>
          <w:szCs w:val="28"/>
        </w:rPr>
        <w:t>.07</w:t>
      </w:r>
      <w:r>
        <w:rPr>
          <w:rFonts w:hint="eastAsia" w:ascii="仿宋_GB2312" w:eastAsia="仿宋_GB2312"/>
          <w:sz w:val="28"/>
          <w:szCs w:val="28"/>
        </w:rPr>
        <w:t>万元，增长7.25</w:t>
      </w:r>
      <w:r>
        <w:rPr>
          <w:rFonts w:hint="eastAsia" w:ascii="仿宋_GB2312" w:eastAsia="仿宋_GB2312"/>
          <w:sz w:val="28"/>
          <w:szCs w:val="28"/>
        </w:rPr>
        <w:t>%。主要原因：根据机构改革要求，市农业综合执法总队划入东城区、西城区、石景山区动物卫生监督所的全部职责，人员经费增加。</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2024年度一般公共预算财政拨款支出6098.45万元，主要用于以下方面（按大类）：教育支出</w:t>
      </w:r>
      <w:r>
        <w:rPr>
          <w:rFonts w:ascii="仿宋_GB2312" w:eastAsia="仿宋_GB2312"/>
          <w:sz w:val="28"/>
          <w:szCs w:val="28"/>
        </w:rPr>
        <w:t>23.86</w:t>
      </w:r>
      <w:r>
        <w:rPr>
          <w:rFonts w:hint="eastAsia" w:ascii="仿宋_GB2312" w:eastAsia="仿宋_GB2312"/>
          <w:sz w:val="28"/>
          <w:szCs w:val="28"/>
        </w:rPr>
        <w:t>万元，占本年财政拨款支出</w:t>
      </w:r>
      <w:r>
        <w:rPr>
          <w:rFonts w:ascii="仿宋_GB2312" w:eastAsia="仿宋_GB2312"/>
          <w:sz w:val="28"/>
          <w:szCs w:val="28"/>
        </w:rPr>
        <w:t>0</w:t>
      </w:r>
      <w:r>
        <w:rPr>
          <w:rFonts w:hint="eastAsia" w:ascii="仿宋_GB2312" w:eastAsia="仿宋_GB2312"/>
          <w:sz w:val="28"/>
          <w:szCs w:val="28"/>
        </w:rPr>
        <w:t>.</w:t>
      </w:r>
      <w:r>
        <w:rPr>
          <w:rFonts w:ascii="仿宋_GB2312" w:eastAsia="仿宋_GB2312"/>
          <w:sz w:val="28"/>
          <w:szCs w:val="28"/>
        </w:rPr>
        <w:t>39</w:t>
      </w:r>
      <w:r>
        <w:rPr>
          <w:rFonts w:hint="eastAsia" w:ascii="仿宋_GB2312" w:eastAsia="仿宋_GB2312"/>
          <w:sz w:val="28"/>
          <w:szCs w:val="28"/>
        </w:rPr>
        <w:t>%；社会保障</w:t>
      </w:r>
      <w:r>
        <w:rPr>
          <w:rFonts w:ascii="仿宋_GB2312" w:eastAsia="仿宋_GB2312"/>
          <w:sz w:val="28"/>
          <w:szCs w:val="28"/>
        </w:rPr>
        <w:t>和就业</w:t>
      </w:r>
      <w:r>
        <w:rPr>
          <w:rFonts w:hint="eastAsia" w:ascii="仿宋_GB2312" w:eastAsia="仿宋_GB2312"/>
          <w:sz w:val="28"/>
          <w:szCs w:val="28"/>
        </w:rPr>
        <w:t>支出</w:t>
      </w:r>
      <w:r>
        <w:rPr>
          <w:rFonts w:ascii="仿宋_GB2312" w:eastAsia="仿宋_GB2312"/>
          <w:sz w:val="28"/>
          <w:szCs w:val="28"/>
        </w:rPr>
        <w:t>707.69</w:t>
      </w:r>
      <w:r>
        <w:rPr>
          <w:rFonts w:hint="eastAsia" w:ascii="仿宋_GB2312" w:eastAsia="仿宋_GB2312"/>
          <w:sz w:val="28"/>
          <w:szCs w:val="28"/>
        </w:rPr>
        <w:t>万元，占本年财政拨款支出</w:t>
      </w:r>
      <w:r>
        <w:rPr>
          <w:rFonts w:ascii="仿宋_GB2312" w:eastAsia="仿宋_GB2312"/>
          <w:sz w:val="28"/>
          <w:szCs w:val="28"/>
        </w:rPr>
        <w:t>11.60</w:t>
      </w:r>
      <w:r>
        <w:rPr>
          <w:rFonts w:hint="eastAsia" w:ascii="仿宋_GB2312" w:eastAsia="仿宋_GB2312"/>
          <w:sz w:val="28"/>
          <w:szCs w:val="28"/>
        </w:rPr>
        <w:t>%。卫生</w:t>
      </w:r>
      <w:r>
        <w:rPr>
          <w:rFonts w:ascii="仿宋_GB2312" w:eastAsia="仿宋_GB2312"/>
          <w:sz w:val="28"/>
          <w:szCs w:val="28"/>
        </w:rPr>
        <w:t>健康</w:t>
      </w:r>
      <w:r>
        <w:rPr>
          <w:rFonts w:hint="eastAsia" w:ascii="仿宋_GB2312" w:eastAsia="仿宋_GB2312"/>
          <w:sz w:val="28"/>
          <w:szCs w:val="28"/>
        </w:rPr>
        <w:t>支出</w:t>
      </w:r>
      <w:r>
        <w:rPr>
          <w:rFonts w:ascii="仿宋_GB2312" w:eastAsia="仿宋_GB2312"/>
          <w:sz w:val="28"/>
          <w:szCs w:val="28"/>
        </w:rPr>
        <w:t>398.83</w:t>
      </w:r>
      <w:r>
        <w:rPr>
          <w:rFonts w:hint="eastAsia" w:ascii="仿宋_GB2312" w:eastAsia="仿宋_GB2312"/>
          <w:sz w:val="28"/>
          <w:szCs w:val="28"/>
        </w:rPr>
        <w:t>万元，占本年财政拨款支出</w:t>
      </w:r>
      <w:r>
        <w:rPr>
          <w:rFonts w:ascii="仿宋_GB2312" w:eastAsia="仿宋_GB2312"/>
          <w:sz w:val="28"/>
          <w:szCs w:val="28"/>
        </w:rPr>
        <w:t>6.54</w:t>
      </w:r>
      <w:r>
        <w:rPr>
          <w:rFonts w:hint="eastAsia" w:ascii="仿宋_GB2312" w:eastAsia="仿宋_GB2312"/>
          <w:sz w:val="28"/>
          <w:szCs w:val="28"/>
        </w:rPr>
        <w:t>%。农林水支出</w:t>
      </w:r>
      <w:r>
        <w:rPr>
          <w:rFonts w:ascii="仿宋_GB2312" w:eastAsia="仿宋_GB2312"/>
          <w:sz w:val="28"/>
          <w:szCs w:val="28"/>
        </w:rPr>
        <w:t>4968.06</w:t>
      </w:r>
      <w:r>
        <w:rPr>
          <w:rFonts w:hint="eastAsia" w:ascii="仿宋_GB2312" w:eastAsia="仿宋_GB2312"/>
          <w:sz w:val="28"/>
          <w:szCs w:val="28"/>
        </w:rPr>
        <w:t>万元，占本年财政拨款支出</w:t>
      </w:r>
      <w:r>
        <w:rPr>
          <w:rFonts w:ascii="仿宋_GB2312" w:eastAsia="仿宋_GB2312"/>
          <w:sz w:val="28"/>
          <w:szCs w:val="28"/>
        </w:rPr>
        <w:t>81.46</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640" w:lineRule="exact"/>
        <w:ind w:firstLine="560" w:firstLineChars="200"/>
        <w:jc w:val="left"/>
        <w:rPr>
          <w:rFonts w:ascii="仿宋_GB2312" w:eastAsia="仿宋_GB2312"/>
          <w:sz w:val="28"/>
          <w:szCs w:val="28"/>
        </w:rPr>
      </w:pPr>
      <w:r>
        <w:rPr>
          <w:rFonts w:hint="eastAsia" w:ascii="仿宋_GB2312" w:eastAsia="仿宋_GB2312"/>
          <w:sz w:val="28"/>
          <w:szCs w:val="28"/>
        </w:rPr>
        <w:t>1、“教育支出”202</w:t>
      </w:r>
      <w:r>
        <w:rPr>
          <w:rFonts w:ascii="仿宋_GB2312" w:eastAsia="仿宋_GB2312"/>
          <w:sz w:val="28"/>
          <w:szCs w:val="28"/>
        </w:rPr>
        <w:t>4</w:t>
      </w:r>
      <w:r>
        <w:rPr>
          <w:rFonts w:hint="eastAsia" w:ascii="仿宋_GB2312" w:eastAsia="仿宋_GB2312"/>
          <w:sz w:val="28"/>
          <w:szCs w:val="28"/>
        </w:rPr>
        <w:t>年</w:t>
      </w:r>
      <w:r>
        <w:rPr>
          <w:rFonts w:hint="eastAsia" w:ascii="仿宋_GB2312" w:eastAsia="仿宋_GB2312"/>
          <w:sz w:val="28"/>
          <w:szCs w:val="28"/>
          <w:lang w:eastAsia="zh-CN"/>
        </w:rPr>
        <w:t>度年初预算72.19万元，</w:t>
      </w:r>
      <w:r>
        <w:rPr>
          <w:rFonts w:hint="eastAsia" w:ascii="仿宋_GB2312" w:eastAsia="仿宋_GB2312"/>
          <w:sz w:val="28"/>
          <w:szCs w:val="28"/>
          <w:lang w:val="en-US" w:eastAsia="zh-CN"/>
        </w:rPr>
        <w:t>2024年度</w:t>
      </w:r>
      <w:r>
        <w:rPr>
          <w:rFonts w:hint="eastAsia" w:ascii="仿宋_GB2312" w:eastAsia="仿宋_GB2312"/>
          <w:sz w:val="28"/>
          <w:szCs w:val="28"/>
        </w:rPr>
        <w:t>决算</w:t>
      </w:r>
      <w:r>
        <w:rPr>
          <w:rFonts w:ascii="仿宋_GB2312" w:eastAsia="仿宋_GB2312"/>
          <w:sz w:val="28"/>
          <w:szCs w:val="28"/>
        </w:rPr>
        <w:t>23.86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33.05%</w:t>
      </w:r>
      <w:r>
        <w:rPr>
          <w:rFonts w:hint="eastAsia" w:ascii="仿宋_GB2312" w:eastAsia="仿宋_GB2312"/>
          <w:sz w:val="28"/>
          <w:szCs w:val="28"/>
        </w:rPr>
        <w:t>。其中：</w:t>
      </w:r>
    </w:p>
    <w:p>
      <w:pPr>
        <w:autoSpaceDE w:val="0"/>
        <w:autoSpaceDN w:val="0"/>
        <w:adjustRightInd w:val="0"/>
        <w:spacing w:line="640" w:lineRule="exact"/>
        <w:ind w:firstLine="560" w:firstLineChars="200"/>
        <w:jc w:val="left"/>
        <w:rPr>
          <w:rFonts w:hint="eastAsia" w:ascii="仿宋_GB2312" w:eastAsia="仿宋_GB2312"/>
          <w:sz w:val="28"/>
          <w:szCs w:val="28"/>
        </w:rPr>
      </w:pPr>
      <w:r>
        <w:rPr>
          <w:rFonts w:hint="eastAsia" w:ascii="仿宋_GB2312" w:eastAsia="仿宋_GB2312"/>
          <w:sz w:val="28"/>
          <w:szCs w:val="28"/>
        </w:rPr>
        <w:t>“进修及培训”202</w:t>
      </w:r>
      <w:r>
        <w:rPr>
          <w:rFonts w:ascii="仿宋_GB2312" w:eastAsia="仿宋_GB2312"/>
          <w:sz w:val="28"/>
          <w:szCs w:val="28"/>
        </w:rPr>
        <w:t>4</w:t>
      </w:r>
      <w:r>
        <w:rPr>
          <w:rFonts w:hint="eastAsia" w:ascii="仿宋_GB2312" w:eastAsia="仿宋_GB2312"/>
          <w:sz w:val="28"/>
          <w:szCs w:val="28"/>
        </w:rPr>
        <w:t>年</w:t>
      </w:r>
      <w:r>
        <w:rPr>
          <w:rFonts w:hint="eastAsia" w:ascii="仿宋_GB2312" w:eastAsia="仿宋_GB2312"/>
          <w:sz w:val="28"/>
          <w:szCs w:val="28"/>
          <w:lang w:eastAsia="zh-CN"/>
        </w:rPr>
        <w:t>度年初预算72.19万元，</w:t>
      </w:r>
      <w:r>
        <w:rPr>
          <w:rFonts w:hint="eastAsia" w:ascii="仿宋_GB2312" w:eastAsia="仿宋_GB2312"/>
          <w:sz w:val="28"/>
          <w:szCs w:val="28"/>
          <w:lang w:val="en-US" w:eastAsia="zh-CN"/>
        </w:rPr>
        <w:t>2024年度</w:t>
      </w:r>
      <w:r>
        <w:rPr>
          <w:rFonts w:hint="eastAsia" w:ascii="仿宋_GB2312" w:eastAsia="仿宋_GB2312"/>
          <w:sz w:val="28"/>
          <w:szCs w:val="28"/>
        </w:rPr>
        <w:t>决算</w:t>
      </w:r>
      <w:r>
        <w:rPr>
          <w:rFonts w:ascii="仿宋_GB2312" w:eastAsia="仿宋_GB2312"/>
          <w:sz w:val="28"/>
          <w:szCs w:val="28"/>
        </w:rPr>
        <w:t>23.86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33.05%</w:t>
      </w:r>
      <w:r>
        <w:rPr>
          <w:rFonts w:hint="eastAsia" w:ascii="仿宋_GB2312" w:eastAsia="仿宋_GB2312"/>
          <w:sz w:val="28"/>
          <w:szCs w:val="28"/>
        </w:rPr>
        <w:t>。主要原因：落实政府过紧日子的要求，厉行勤俭节约，压缩培训成本</w:t>
      </w:r>
      <w:r>
        <w:rPr>
          <w:rFonts w:hint="eastAsia" w:ascii="仿宋_GB2312" w:eastAsia="仿宋_GB2312"/>
          <w:sz w:val="28"/>
          <w:szCs w:val="28"/>
          <w:lang w:eastAsia="zh-CN"/>
        </w:rPr>
        <w:t>。</w:t>
      </w:r>
    </w:p>
    <w:p>
      <w:pPr>
        <w:autoSpaceDE w:val="0"/>
        <w:autoSpaceDN w:val="0"/>
        <w:adjustRightInd w:val="0"/>
        <w:spacing w:line="640" w:lineRule="exact"/>
        <w:ind w:firstLine="560" w:firstLineChars="200"/>
        <w:jc w:val="left"/>
        <w:rPr>
          <w:rFonts w:hint="eastAsia" w:ascii="仿宋_GB2312" w:eastAsia="仿宋_GB2312"/>
          <w:sz w:val="28"/>
          <w:szCs w:val="28"/>
        </w:rPr>
      </w:pPr>
      <w:r>
        <w:rPr>
          <w:rFonts w:hint="eastAsia" w:ascii="仿宋_GB2312" w:eastAsia="仿宋_GB2312"/>
          <w:sz w:val="28"/>
          <w:szCs w:val="28"/>
        </w:rPr>
        <w:t>2、</w:t>
      </w:r>
      <w:r>
        <w:rPr>
          <w:rFonts w:ascii="仿宋_GB2312" w:eastAsia="仿宋_GB2312"/>
          <w:sz w:val="28"/>
          <w:szCs w:val="28"/>
        </w:rPr>
        <w:t>“</w:t>
      </w:r>
      <w:r>
        <w:rPr>
          <w:rFonts w:hint="eastAsia" w:ascii="仿宋_GB2312" w:eastAsia="仿宋_GB2312"/>
          <w:sz w:val="28"/>
          <w:szCs w:val="28"/>
        </w:rPr>
        <w:t>社会保障</w:t>
      </w:r>
      <w:r>
        <w:rPr>
          <w:rFonts w:ascii="仿宋_GB2312" w:eastAsia="仿宋_GB2312"/>
          <w:sz w:val="28"/>
          <w:szCs w:val="28"/>
        </w:rPr>
        <w:t>和就业</w:t>
      </w:r>
      <w:r>
        <w:rPr>
          <w:rFonts w:hint="eastAsia" w:ascii="仿宋_GB2312" w:eastAsia="仿宋_GB2312"/>
          <w:sz w:val="28"/>
          <w:szCs w:val="28"/>
        </w:rPr>
        <w:t>支出”202</w:t>
      </w:r>
      <w:r>
        <w:rPr>
          <w:rFonts w:ascii="仿宋_GB2312" w:eastAsia="仿宋_GB2312"/>
          <w:sz w:val="28"/>
          <w:szCs w:val="28"/>
        </w:rPr>
        <w:t>4</w:t>
      </w:r>
      <w:r>
        <w:rPr>
          <w:rFonts w:hint="eastAsia" w:ascii="仿宋_GB2312" w:eastAsia="仿宋_GB2312"/>
          <w:sz w:val="28"/>
          <w:szCs w:val="28"/>
        </w:rPr>
        <w:t>年</w:t>
      </w:r>
      <w:r>
        <w:rPr>
          <w:rFonts w:hint="eastAsia" w:ascii="仿宋_GB2312" w:eastAsia="仿宋_GB2312"/>
          <w:sz w:val="28"/>
          <w:szCs w:val="28"/>
          <w:lang w:eastAsia="zh-CN"/>
        </w:rPr>
        <w:t>度年初预算</w:t>
      </w:r>
      <w:r>
        <w:rPr>
          <w:rFonts w:hint="eastAsia" w:ascii="仿宋_GB2312" w:eastAsia="仿宋_GB2312"/>
          <w:sz w:val="28"/>
          <w:szCs w:val="28"/>
        </w:rPr>
        <w:t>604.43</w:t>
      </w:r>
      <w:r>
        <w:rPr>
          <w:rFonts w:hint="eastAsia" w:ascii="仿宋_GB2312" w:eastAsia="仿宋_GB2312"/>
          <w:sz w:val="28"/>
          <w:szCs w:val="28"/>
          <w:lang w:eastAsia="zh-CN"/>
        </w:rPr>
        <w:t>万元，</w:t>
      </w:r>
      <w:r>
        <w:rPr>
          <w:rFonts w:hint="eastAsia" w:ascii="仿宋_GB2312" w:eastAsia="仿宋_GB2312"/>
          <w:sz w:val="28"/>
          <w:szCs w:val="28"/>
          <w:lang w:val="en-US" w:eastAsia="zh-CN"/>
        </w:rPr>
        <w:t>2024年度</w:t>
      </w:r>
      <w:r>
        <w:rPr>
          <w:rFonts w:hint="eastAsia" w:ascii="仿宋_GB2312" w:eastAsia="仿宋_GB2312"/>
          <w:sz w:val="28"/>
          <w:szCs w:val="28"/>
        </w:rPr>
        <w:t>决算707.69万元，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117.08%</w:t>
      </w:r>
      <w:r>
        <w:rPr>
          <w:rFonts w:hint="eastAsia" w:ascii="仿宋_GB2312" w:eastAsia="仿宋_GB2312"/>
          <w:sz w:val="28"/>
          <w:szCs w:val="28"/>
        </w:rPr>
        <w:t>。其中</w:t>
      </w:r>
      <w:r>
        <w:rPr>
          <w:rFonts w:ascii="仿宋_GB2312" w:eastAsia="仿宋_GB2312"/>
          <w:sz w:val="28"/>
          <w:szCs w:val="28"/>
        </w:rPr>
        <w:t>：</w:t>
      </w:r>
    </w:p>
    <w:p>
      <w:pPr>
        <w:autoSpaceDE w:val="0"/>
        <w:autoSpaceDN w:val="0"/>
        <w:adjustRightInd w:val="0"/>
        <w:spacing w:line="640" w:lineRule="exact"/>
        <w:ind w:firstLine="560" w:firstLineChars="200"/>
        <w:jc w:val="left"/>
        <w:rPr>
          <w:rFonts w:hint="eastAsia" w:ascii="仿宋_GB2312" w:eastAsia="仿宋_GB2312"/>
          <w:sz w:val="28"/>
          <w:szCs w:val="28"/>
        </w:rPr>
      </w:pPr>
      <w:r>
        <w:rPr>
          <w:rFonts w:ascii="仿宋_GB2312" w:eastAsia="仿宋_GB2312"/>
          <w:sz w:val="28"/>
          <w:szCs w:val="28"/>
        </w:rPr>
        <w:t>“</w:t>
      </w:r>
      <w:r>
        <w:rPr>
          <w:rFonts w:hint="eastAsia" w:ascii="仿宋_GB2312" w:eastAsia="仿宋_GB2312"/>
          <w:sz w:val="28"/>
          <w:szCs w:val="28"/>
        </w:rPr>
        <w:t>行政事业单位</w:t>
      </w:r>
      <w:r>
        <w:rPr>
          <w:rFonts w:ascii="仿宋_GB2312" w:eastAsia="仿宋_GB2312"/>
          <w:sz w:val="28"/>
          <w:szCs w:val="28"/>
        </w:rPr>
        <w:t>养老</w:t>
      </w:r>
      <w:r>
        <w:rPr>
          <w:rFonts w:hint="eastAsia" w:ascii="仿宋_GB2312" w:eastAsia="仿宋_GB2312"/>
          <w:sz w:val="28"/>
          <w:szCs w:val="28"/>
        </w:rPr>
        <w:t>支出” 202</w:t>
      </w:r>
      <w:r>
        <w:rPr>
          <w:rFonts w:ascii="仿宋_GB2312" w:eastAsia="仿宋_GB2312"/>
          <w:sz w:val="28"/>
          <w:szCs w:val="28"/>
        </w:rPr>
        <w:t>4</w:t>
      </w:r>
      <w:r>
        <w:rPr>
          <w:rFonts w:hint="eastAsia" w:ascii="仿宋_GB2312" w:eastAsia="仿宋_GB2312"/>
          <w:sz w:val="28"/>
          <w:szCs w:val="28"/>
        </w:rPr>
        <w:t>年</w:t>
      </w:r>
      <w:r>
        <w:rPr>
          <w:rFonts w:hint="eastAsia" w:ascii="仿宋_GB2312" w:eastAsia="仿宋_GB2312"/>
          <w:sz w:val="28"/>
          <w:szCs w:val="28"/>
          <w:lang w:eastAsia="zh-CN"/>
        </w:rPr>
        <w:t>度年初预算</w:t>
      </w:r>
      <w:r>
        <w:rPr>
          <w:rFonts w:hint="eastAsia" w:ascii="仿宋_GB2312" w:eastAsia="仿宋_GB2312"/>
          <w:sz w:val="28"/>
          <w:szCs w:val="28"/>
        </w:rPr>
        <w:t>604.43</w:t>
      </w:r>
      <w:r>
        <w:rPr>
          <w:rFonts w:hint="eastAsia" w:ascii="仿宋_GB2312" w:eastAsia="仿宋_GB2312"/>
          <w:sz w:val="28"/>
          <w:szCs w:val="28"/>
          <w:lang w:eastAsia="zh-CN"/>
        </w:rPr>
        <w:t>万元，</w:t>
      </w:r>
      <w:r>
        <w:rPr>
          <w:rFonts w:hint="eastAsia" w:ascii="仿宋_GB2312" w:eastAsia="仿宋_GB2312"/>
          <w:sz w:val="28"/>
          <w:szCs w:val="28"/>
          <w:lang w:val="en-US" w:eastAsia="zh-CN"/>
        </w:rPr>
        <w:t>2024年度</w:t>
      </w:r>
      <w:r>
        <w:rPr>
          <w:rFonts w:hint="eastAsia" w:ascii="仿宋_GB2312" w:eastAsia="仿宋_GB2312"/>
          <w:sz w:val="28"/>
          <w:szCs w:val="28"/>
        </w:rPr>
        <w:t>决算707.69万元，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117.08%</w:t>
      </w:r>
      <w:r>
        <w:rPr>
          <w:rFonts w:hint="eastAsia" w:ascii="仿宋_GB2312" w:eastAsia="仿宋_GB2312"/>
          <w:sz w:val="28"/>
          <w:szCs w:val="28"/>
        </w:rPr>
        <w:t>。主要原因</w:t>
      </w:r>
      <w:r>
        <w:rPr>
          <w:rFonts w:ascii="仿宋_GB2312" w:eastAsia="仿宋_GB2312"/>
          <w:sz w:val="28"/>
          <w:szCs w:val="28"/>
        </w:rPr>
        <w:t>：机构改革人员</w:t>
      </w:r>
      <w:r>
        <w:rPr>
          <w:rFonts w:hint="eastAsia" w:ascii="仿宋_GB2312" w:eastAsia="仿宋_GB2312"/>
          <w:sz w:val="28"/>
          <w:szCs w:val="28"/>
          <w:lang w:eastAsia="zh-CN"/>
        </w:rPr>
        <w:t>增加，</w:t>
      </w:r>
      <w:r>
        <w:rPr>
          <w:rFonts w:ascii="仿宋_GB2312" w:eastAsia="仿宋_GB2312"/>
          <w:sz w:val="28"/>
          <w:szCs w:val="28"/>
        </w:rPr>
        <w:t>按照实际缴费情况缴纳职工基本养老保险和职业年金</w:t>
      </w:r>
      <w:r>
        <w:rPr>
          <w:rFonts w:hint="eastAsia" w:ascii="仿宋_GB2312" w:eastAsia="仿宋_GB2312"/>
          <w:sz w:val="28"/>
          <w:szCs w:val="28"/>
        </w:rPr>
        <w:t>。</w:t>
      </w:r>
    </w:p>
    <w:p>
      <w:pPr>
        <w:autoSpaceDE w:val="0"/>
        <w:autoSpaceDN w:val="0"/>
        <w:adjustRightInd w:val="0"/>
        <w:spacing w:line="640" w:lineRule="exact"/>
        <w:ind w:firstLine="560" w:firstLineChars="200"/>
        <w:jc w:val="left"/>
        <w:rPr>
          <w:rFonts w:hint="eastAsia" w:ascii="仿宋_GB2312" w:eastAsia="仿宋_GB2312"/>
          <w:sz w:val="28"/>
          <w:szCs w:val="28"/>
        </w:rPr>
      </w:pPr>
      <w:r>
        <w:rPr>
          <w:rFonts w:ascii="仿宋_GB2312" w:eastAsia="仿宋_GB2312"/>
          <w:sz w:val="28"/>
          <w:szCs w:val="28"/>
        </w:rPr>
        <w:t>3</w:t>
      </w:r>
      <w:r>
        <w:rPr>
          <w:rFonts w:hint="eastAsia" w:ascii="仿宋_GB2312" w:eastAsia="仿宋_GB2312"/>
          <w:sz w:val="28"/>
          <w:szCs w:val="28"/>
        </w:rPr>
        <w:t>、</w:t>
      </w:r>
      <w:r>
        <w:rPr>
          <w:rFonts w:ascii="仿宋_GB2312" w:eastAsia="仿宋_GB2312"/>
          <w:sz w:val="28"/>
          <w:szCs w:val="28"/>
        </w:rPr>
        <w:t>“</w:t>
      </w:r>
      <w:r>
        <w:rPr>
          <w:rFonts w:hint="eastAsia" w:ascii="仿宋_GB2312" w:eastAsia="仿宋_GB2312"/>
          <w:sz w:val="28"/>
          <w:szCs w:val="28"/>
        </w:rPr>
        <w:t>卫生</w:t>
      </w:r>
      <w:r>
        <w:rPr>
          <w:rFonts w:ascii="仿宋_GB2312" w:eastAsia="仿宋_GB2312"/>
          <w:sz w:val="28"/>
          <w:szCs w:val="28"/>
        </w:rPr>
        <w:t>健康</w:t>
      </w:r>
      <w:r>
        <w:rPr>
          <w:rFonts w:hint="eastAsia" w:ascii="仿宋_GB2312" w:eastAsia="仿宋_GB2312"/>
          <w:sz w:val="28"/>
          <w:szCs w:val="28"/>
        </w:rPr>
        <w:t>支出” 202</w:t>
      </w:r>
      <w:r>
        <w:rPr>
          <w:rFonts w:ascii="仿宋_GB2312" w:eastAsia="仿宋_GB2312"/>
          <w:sz w:val="28"/>
          <w:szCs w:val="28"/>
        </w:rPr>
        <w:t>4</w:t>
      </w:r>
      <w:r>
        <w:rPr>
          <w:rFonts w:hint="eastAsia" w:ascii="仿宋_GB2312" w:eastAsia="仿宋_GB2312"/>
          <w:sz w:val="28"/>
          <w:szCs w:val="28"/>
        </w:rPr>
        <w:t>年</w:t>
      </w:r>
      <w:r>
        <w:rPr>
          <w:rFonts w:hint="eastAsia" w:ascii="仿宋_GB2312" w:eastAsia="仿宋_GB2312"/>
          <w:sz w:val="28"/>
          <w:szCs w:val="28"/>
          <w:lang w:eastAsia="zh-CN"/>
        </w:rPr>
        <w:t>度年初预算</w:t>
      </w:r>
      <w:r>
        <w:rPr>
          <w:rFonts w:hint="eastAsia" w:ascii="仿宋_GB2312" w:eastAsia="仿宋_GB2312"/>
          <w:sz w:val="28"/>
          <w:szCs w:val="28"/>
        </w:rPr>
        <w:t>340.17</w:t>
      </w:r>
      <w:r>
        <w:rPr>
          <w:rFonts w:hint="eastAsia" w:ascii="仿宋_GB2312" w:eastAsia="仿宋_GB2312"/>
          <w:sz w:val="28"/>
          <w:szCs w:val="28"/>
          <w:lang w:eastAsia="zh-CN"/>
        </w:rPr>
        <w:t>万元，</w:t>
      </w:r>
      <w:r>
        <w:rPr>
          <w:rFonts w:hint="eastAsia" w:ascii="仿宋_GB2312" w:eastAsia="仿宋_GB2312"/>
          <w:sz w:val="28"/>
          <w:szCs w:val="28"/>
          <w:lang w:val="en-US" w:eastAsia="zh-CN"/>
        </w:rPr>
        <w:t>2024年度</w:t>
      </w:r>
      <w:r>
        <w:rPr>
          <w:rFonts w:hint="eastAsia" w:ascii="仿宋_GB2312" w:eastAsia="仿宋_GB2312"/>
          <w:sz w:val="28"/>
          <w:szCs w:val="28"/>
        </w:rPr>
        <w:t>决算398.83万元，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117.24%</w:t>
      </w:r>
      <w:r>
        <w:rPr>
          <w:rFonts w:hint="eastAsia" w:ascii="仿宋_GB2312" w:eastAsia="仿宋_GB2312"/>
          <w:sz w:val="28"/>
          <w:szCs w:val="28"/>
        </w:rPr>
        <w:t>。其中</w:t>
      </w:r>
      <w:r>
        <w:rPr>
          <w:rFonts w:ascii="仿宋_GB2312" w:eastAsia="仿宋_GB2312"/>
          <w:sz w:val="28"/>
          <w:szCs w:val="28"/>
        </w:rPr>
        <w:t>：</w:t>
      </w:r>
    </w:p>
    <w:p>
      <w:pPr>
        <w:autoSpaceDE w:val="0"/>
        <w:autoSpaceDN w:val="0"/>
        <w:adjustRightInd w:val="0"/>
        <w:spacing w:line="640" w:lineRule="exact"/>
        <w:ind w:firstLine="560" w:firstLineChars="200"/>
        <w:jc w:val="left"/>
        <w:rPr>
          <w:rFonts w:ascii="仿宋_GB2312" w:eastAsia="仿宋_GB2312"/>
          <w:sz w:val="28"/>
          <w:szCs w:val="28"/>
        </w:rPr>
      </w:pPr>
      <w:r>
        <w:rPr>
          <w:rFonts w:ascii="仿宋_GB2312" w:eastAsia="仿宋_GB2312"/>
          <w:sz w:val="28"/>
          <w:szCs w:val="28"/>
        </w:rPr>
        <w:t>“</w:t>
      </w:r>
      <w:r>
        <w:rPr>
          <w:rFonts w:hint="eastAsia" w:ascii="仿宋_GB2312" w:eastAsia="仿宋_GB2312"/>
          <w:sz w:val="28"/>
          <w:szCs w:val="28"/>
        </w:rPr>
        <w:t>行政事业单位医疗” 202</w:t>
      </w:r>
      <w:r>
        <w:rPr>
          <w:rFonts w:ascii="仿宋_GB2312" w:eastAsia="仿宋_GB2312"/>
          <w:sz w:val="28"/>
          <w:szCs w:val="28"/>
        </w:rPr>
        <w:t>4</w:t>
      </w:r>
      <w:r>
        <w:rPr>
          <w:rFonts w:hint="eastAsia" w:ascii="仿宋_GB2312" w:eastAsia="仿宋_GB2312"/>
          <w:sz w:val="28"/>
          <w:szCs w:val="28"/>
        </w:rPr>
        <w:t>年</w:t>
      </w:r>
      <w:r>
        <w:rPr>
          <w:rFonts w:hint="eastAsia" w:ascii="仿宋_GB2312" w:eastAsia="仿宋_GB2312"/>
          <w:sz w:val="28"/>
          <w:szCs w:val="28"/>
          <w:lang w:eastAsia="zh-CN"/>
        </w:rPr>
        <w:t>度年初预算</w:t>
      </w:r>
      <w:r>
        <w:rPr>
          <w:rFonts w:hint="eastAsia" w:ascii="仿宋_GB2312" w:eastAsia="仿宋_GB2312"/>
          <w:sz w:val="28"/>
          <w:szCs w:val="28"/>
        </w:rPr>
        <w:t>340.17</w:t>
      </w:r>
      <w:r>
        <w:rPr>
          <w:rFonts w:hint="eastAsia" w:ascii="仿宋_GB2312" w:eastAsia="仿宋_GB2312"/>
          <w:sz w:val="28"/>
          <w:szCs w:val="28"/>
          <w:lang w:eastAsia="zh-CN"/>
        </w:rPr>
        <w:t>万元，</w:t>
      </w:r>
      <w:r>
        <w:rPr>
          <w:rFonts w:hint="eastAsia" w:ascii="仿宋_GB2312" w:eastAsia="仿宋_GB2312"/>
          <w:sz w:val="28"/>
          <w:szCs w:val="28"/>
          <w:lang w:val="en-US" w:eastAsia="zh-CN"/>
        </w:rPr>
        <w:t>2024年度</w:t>
      </w:r>
      <w:r>
        <w:rPr>
          <w:rFonts w:hint="eastAsia" w:ascii="仿宋_GB2312" w:eastAsia="仿宋_GB2312"/>
          <w:sz w:val="28"/>
          <w:szCs w:val="28"/>
        </w:rPr>
        <w:t>决算398.83万元，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117.24%</w:t>
      </w:r>
      <w:r>
        <w:rPr>
          <w:rFonts w:hint="eastAsia" w:ascii="仿宋_GB2312" w:eastAsia="仿宋_GB2312"/>
          <w:sz w:val="28"/>
          <w:szCs w:val="28"/>
        </w:rPr>
        <w:t>。主要原因</w:t>
      </w:r>
      <w:r>
        <w:rPr>
          <w:rFonts w:ascii="仿宋_GB2312" w:eastAsia="仿宋_GB2312"/>
          <w:sz w:val="28"/>
          <w:szCs w:val="28"/>
        </w:rPr>
        <w:t>：机构改革人员</w:t>
      </w:r>
      <w:r>
        <w:rPr>
          <w:rFonts w:hint="eastAsia" w:ascii="仿宋_GB2312" w:eastAsia="仿宋_GB2312"/>
          <w:sz w:val="28"/>
          <w:szCs w:val="28"/>
          <w:lang w:eastAsia="zh-CN"/>
        </w:rPr>
        <w:t>增加，</w:t>
      </w:r>
      <w:r>
        <w:rPr>
          <w:rFonts w:ascii="仿宋_GB2312" w:eastAsia="仿宋_GB2312"/>
          <w:sz w:val="28"/>
          <w:szCs w:val="28"/>
        </w:rPr>
        <w:t>按照实际缴费情况缴纳职工医疗保险。</w:t>
      </w:r>
    </w:p>
    <w:p>
      <w:pPr>
        <w:autoSpaceDE w:val="0"/>
        <w:autoSpaceDN w:val="0"/>
        <w:adjustRightInd w:val="0"/>
        <w:spacing w:line="640" w:lineRule="exact"/>
        <w:ind w:firstLine="560" w:firstLineChars="200"/>
        <w:jc w:val="left"/>
        <w:rPr>
          <w:rFonts w:ascii="仿宋_GB2312" w:eastAsia="仿宋_GB2312"/>
          <w:sz w:val="28"/>
          <w:szCs w:val="28"/>
        </w:rPr>
      </w:pPr>
      <w:r>
        <w:rPr>
          <w:rFonts w:ascii="仿宋_GB2312" w:eastAsia="仿宋_GB2312"/>
          <w:sz w:val="28"/>
          <w:szCs w:val="28"/>
        </w:rPr>
        <w:t>4</w:t>
      </w:r>
      <w:r>
        <w:rPr>
          <w:rFonts w:hint="eastAsia" w:ascii="仿宋_GB2312" w:eastAsia="仿宋_GB2312"/>
          <w:sz w:val="28"/>
          <w:szCs w:val="28"/>
        </w:rPr>
        <w:t>、“农林水支出”202</w:t>
      </w:r>
      <w:r>
        <w:rPr>
          <w:rFonts w:ascii="仿宋_GB2312" w:eastAsia="仿宋_GB2312"/>
          <w:sz w:val="28"/>
          <w:szCs w:val="28"/>
        </w:rPr>
        <w:t>4</w:t>
      </w:r>
      <w:r>
        <w:rPr>
          <w:rFonts w:hint="eastAsia" w:ascii="仿宋_GB2312" w:eastAsia="仿宋_GB2312"/>
          <w:sz w:val="28"/>
          <w:szCs w:val="28"/>
        </w:rPr>
        <w:t>年</w:t>
      </w:r>
      <w:r>
        <w:rPr>
          <w:rFonts w:hint="eastAsia" w:ascii="仿宋_GB2312" w:eastAsia="仿宋_GB2312"/>
          <w:sz w:val="28"/>
          <w:szCs w:val="28"/>
          <w:lang w:eastAsia="zh-CN"/>
        </w:rPr>
        <w:t>度年初预算</w:t>
      </w:r>
      <w:r>
        <w:rPr>
          <w:rFonts w:hint="eastAsia" w:ascii="仿宋_GB2312" w:eastAsia="仿宋_GB2312"/>
          <w:sz w:val="28"/>
          <w:szCs w:val="28"/>
        </w:rPr>
        <w:t>4,935.</w:t>
      </w:r>
      <w:r>
        <w:rPr>
          <w:rFonts w:hint="eastAsia" w:ascii="仿宋_GB2312" w:eastAsia="仿宋_GB2312"/>
          <w:sz w:val="28"/>
          <w:szCs w:val="28"/>
          <w:lang w:val="en-US" w:eastAsia="zh-CN"/>
        </w:rPr>
        <w:t>5</w:t>
      </w:r>
      <w:r>
        <w:rPr>
          <w:rFonts w:hint="eastAsia" w:ascii="仿宋_GB2312" w:eastAsia="仿宋_GB2312"/>
          <w:sz w:val="28"/>
          <w:szCs w:val="28"/>
        </w:rPr>
        <w:t>6</w:t>
      </w:r>
      <w:r>
        <w:rPr>
          <w:rFonts w:hint="eastAsia" w:ascii="仿宋_GB2312" w:eastAsia="仿宋_GB2312"/>
          <w:sz w:val="28"/>
          <w:szCs w:val="28"/>
          <w:lang w:eastAsia="zh-CN"/>
        </w:rPr>
        <w:t>万元，</w:t>
      </w:r>
      <w:r>
        <w:rPr>
          <w:rFonts w:hint="eastAsia" w:ascii="仿宋_GB2312" w:eastAsia="仿宋_GB2312"/>
          <w:sz w:val="28"/>
          <w:szCs w:val="28"/>
          <w:lang w:val="en-US" w:eastAsia="zh-CN"/>
        </w:rPr>
        <w:t>2024年度</w:t>
      </w:r>
      <w:r>
        <w:rPr>
          <w:rFonts w:hint="eastAsia" w:ascii="仿宋_GB2312" w:eastAsia="仿宋_GB2312"/>
          <w:sz w:val="28"/>
          <w:szCs w:val="28"/>
        </w:rPr>
        <w:t>决算4968.06万元，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100.66%</w:t>
      </w:r>
      <w:r>
        <w:rPr>
          <w:rFonts w:hint="eastAsia" w:ascii="仿宋_GB2312" w:eastAsia="仿宋_GB2312"/>
          <w:sz w:val="28"/>
          <w:szCs w:val="28"/>
        </w:rPr>
        <w:t>。其中：</w:t>
      </w:r>
    </w:p>
    <w:p>
      <w:pPr>
        <w:snapToGrid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“农业农村”202</w:t>
      </w:r>
      <w:r>
        <w:rPr>
          <w:rFonts w:ascii="仿宋_GB2312" w:eastAsia="仿宋_GB2312"/>
          <w:sz w:val="28"/>
          <w:szCs w:val="28"/>
        </w:rPr>
        <w:t>4</w:t>
      </w:r>
      <w:r>
        <w:rPr>
          <w:rFonts w:hint="eastAsia" w:ascii="仿宋_GB2312" w:eastAsia="仿宋_GB2312"/>
          <w:sz w:val="28"/>
          <w:szCs w:val="28"/>
        </w:rPr>
        <w:t>年</w:t>
      </w:r>
      <w:r>
        <w:rPr>
          <w:rFonts w:hint="eastAsia" w:ascii="仿宋_GB2312" w:eastAsia="仿宋_GB2312"/>
          <w:sz w:val="28"/>
          <w:szCs w:val="28"/>
          <w:lang w:eastAsia="zh-CN"/>
        </w:rPr>
        <w:t>度年初预算</w:t>
      </w:r>
      <w:r>
        <w:rPr>
          <w:rFonts w:hint="eastAsia" w:ascii="仿宋_GB2312" w:eastAsia="仿宋_GB2312"/>
          <w:sz w:val="28"/>
          <w:szCs w:val="28"/>
        </w:rPr>
        <w:t>4,935.</w:t>
      </w:r>
      <w:r>
        <w:rPr>
          <w:rFonts w:hint="eastAsia" w:ascii="仿宋_GB2312" w:eastAsia="仿宋_GB2312"/>
          <w:sz w:val="28"/>
          <w:szCs w:val="28"/>
          <w:lang w:val="en-US" w:eastAsia="zh-CN"/>
        </w:rPr>
        <w:t>5</w:t>
      </w:r>
      <w:r>
        <w:rPr>
          <w:rFonts w:hint="eastAsia" w:ascii="仿宋_GB2312" w:eastAsia="仿宋_GB2312"/>
          <w:sz w:val="28"/>
          <w:szCs w:val="28"/>
        </w:rPr>
        <w:t>6</w:t>
      </w:r>
      <w:r>
        <w:rPr>
          <w:rFonts w:hint="eastAsia" w:ascii="仿宋_GB2312" w:eastAsia="仿宋_GB2312"/>
          <w:sz w:val="28"/>
          <w:szCs w:val="28"/>
          <w:lang w:eastAsia="zh-CN"/>
        </w:rPr>
        <w:t>万元，</w:t>
      </w:r>
      <w:r>
        <w:rPr>
          <w:rFonts w:hint="eastAsia" w:ascii="仿宋_GB2312" w:eastAsia="仿宋_GB2312"/>
          <w:sz w:val="28"/>
          <w:szCs w:val="28"/>
          <w:lang w:val="en-US" w:eastAsia="zh-CN"/>
        </w:rPr>
        <w:t>2024年度</w:t>
      </w:r>
      <w:r>
        <w:rPr>
          <w:rFonts w:hint="eastAsia" w:ascii="仿宋_GB2312" w:eastAsia="仿宋_GB2312"/>
          <w:sz w:val="28"/>
          <w:szCs w:val="28"/>
        </w:rPr>
        <w:t>决算4968.06万元，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100.66%</w:t>
      </w:r>
      <w:r>
        <w:rPr>
          <w:rFonts w:hint="eastAsia" w:ascii="仿宋_GB2312" w:eastAsia="仿宋_GB2312"/>
          <w:sz w:val="28"/>
          <w:szCs w:val="28"/>
        </w:rPr>
        <w:t>。主要原因：</w:t>
      </w:r>
      <w:r>
        <w:rPr>
          <w:rFonts w:ascii="仿宋_GB2312" w:eastAsia="仿宋_GB2312"/>
          <w:sz w:val="28"/>
          <w:szCs w:val="28"/>
        </w:rPr>
        <w:t>机构改革</w:t>
      </w:r>
      <w:r>
        <w:rPr>
          <w:rFonts w:hint="eastAsia" w:ascii="仿宋_GB2312" w:eastAsia="仿宋_GB2312"/>
          <w:sz w:val="28"/>
          <w:szCs w:val="28"/>
          <w:lang w:eastAsia="zh-CN"/>
        </w:rPr>
        <w:t>人员增加，基本</w:t>
      </w:r>
      <w:r>
        <w:rPr>
          <w:rFonts w:ascii="仿宋_GB2312" w:eastAsia="仿宋_GB2312"/>
          <w:sz w:val="28"/>
          <w:szCs w:val="28"/>
        </w:rPr>
        <w:t>经费增加。</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ind w:firstLine="538" w:firstLineChars="192"/>
        <w:rPr>
          <w:rFonts w:hint="eastAsia" w:ascii="仿宋_GB2312" w:eastAsia="仿宋_GB2312"/>
          <w:sz w:val="28"/>
          <w:szCs w:val="28"/>
        </w:rPr>
      </w:pPr>
      <w:r>
        <w:rPr>
          <w:rFonts w:hint="eastAsia" w:ascii="仿宋_GB2312" w:eastAsia="仿宋_GB2312"/>
          <w:sz w:val="28"/>
          <w:szCs w:val="28"/>
        </w:rPr>
        <w:t>本单位</w:t>
      </w:r>
      <w:r>
        <w:rPr>
          <w:rFonts w:hint="eastAsia" w:ascii="仿宋_GB2312" w:eastAsia="仿宋_GB2312"/>
          <w:sz w:val="28"/>
          <w:szCs w:val="28"/>
          <w:lang w:eastAsia="zh-CN"/>
        </w:rPr>
        <w:t>无此项经费</w:t>
      </w:r>
      <w:r>
        <w:rPr>
          <w:rFonts w:hint="eastAsia" w:ascii="仿宋_GB2312" w:eastAsia="仿宋_GB2312"/>
          <w:sz w:val="28"/>
          <w:szCs w:val="28"/>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8" w:firstLineChars="192"/>
        <w:rPr>
          <w:rFonts w:hint="eastAsia" w:ascii="仿宋_GB2312" w:eastAsia="仿宋_GB2312"/>
          <w:sz w:val="28"/>
          <w:szCs w:val="28"/>
        </w:rPr>
      </w:pPr>
      <w:r>
        <w:rPr>
          <w:rFonts w:hint="eastAsia" w:ascii="仿宋_GB2312" w:eastAsia="仿宋_GB2312"/>
          <w:sz w:val="28"/>
          <w:szCs w:val="28"/>
        </w:rPr>
        <w:t>本单位</w:t>
      </w:r>
      <w:r>
        <w:rPr>
          <w:rFonts w:hint="eastAsia" w:ascii="仿宋_GB2312" w:eastAsia="仿宋_GB2312"/>
          <w:sz w:val="28"/>
          <w:szCs w:val="28"/>
          <w:lang w:eastAsia="zh-CN"/>
        </w:rPr>
        <w:t>无此项经费</w:t>
      </w:r>
      <w:r>
        <w:rPr>
          <w:rFonts w:hint="eastAsia" w:ascii="仿宋_GB2312" w:eastAsia="仿宋_GB2312"/>
          <w:sz w:val="28"/>
          <w:szCs w:val="28"/>
        </w:rPr>
        <w:t>。</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5777.01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w:t>
      </w:r>
      <w:r>
        <w:rPr>
          <w:rFonts w:hint="eastAsia" w:ascii="仿宋_GB2312" w:eastAsia="仿宋_GB2312"/>
          <w:sz w:val="28"/>
          <w:szCs w:val="28"/>
          <w:lang w:eastAsia="zh-CN"/>
        </w:rPr>
        <w:t>用</w:t>
      </w:r>
      <w:r>
        <w:rPr>
          <w:rFonts w:ascii="仿宋_GB2312" w:eastAsia="仿宋_GB2312"/>
          <w:sz w:val="28"/>
          <w:szCs w:val="28"/>
        </w:rPr>
        <w:t>、维修（护）费、租赁费、会议费、培训费、公务接待费、专用材料费、劳务费、委托业务费、工会经费、福利费、公务用车运行维护费、其他交通费、其他商品和服务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pStyle w:val="2"/>
        <w:rPr>
          <w:rFonts w:ascii="仿宋_GB2312" w:eastAsia="仿宋_GB2312"/>
          <w:sz w:val="28"/>
          <w:szCs w:val="28"/>
        </w:rPr>
      </w:pPr>
    </w:p>
    <w:p>
      <w:pPr>
        <w:rPr>
          <w:rFonts w:hint="eastAsia"/>
        </w:rPr>
      </w:pP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7.27</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30.5</w:t>
      </w:r>
      <w:r>
        <w:rPr>
          <w:rFonts w:hint="eastAsia" w:ascii="仿宋_GB2312" w:eastAsia="仿宋_GB2312"/>
          <w:sz w:val="28"/>
          <w:szCs w:val="28"/>
          <w:lang w:val="en-US" w:eastAsia="zh-CN"/>
        </w:rPr>
        <w:t>0</w:t>
      </w:r>
      <w:r>
        <w:rPr>
          <w:rFonts w:hint="eastAsia" w:ascii="仿宋_GB2312" w:eastAsia="仿宋_GB2312"/>
          <w:sz w:val="28"/>
          <w:szCs w:val="28"/>
        </w:rPr>
        <w:t>万元减少</w:t>
      </w:r>
      <w:r>
        <w:rPr>
          <w:rFonts w:ascii="仿宋_GB2312" w:eastAsia="仿宋_GB2312"/>
          <w:sz w:val="28"/>
          <w:szCs w:val="28"/>
        </w:rPr>
        <w:t>23.23</w:t>
      </w:r>
      <w:r>
        <w:rPr>
          <w:rFonts w:hint="eastAsia" w:ascii="仿宋_GB2312" w:eastAsia="仿宋_GB2312"/>
          <w:sz w:val="28"/>
          <w:szCs w:val="28"/>
        </w:rPr>
        <w:t>万元。其中：</w:t>
      </w:r>
    </w:p>
    <w:p>
      <w:pPr>
        <w:spacing w:line="560" w:lineRule="exact"/>
        <w:ind w:firstLine="600"/>
        <w:rPr>
          <w:rFonts w:ascii="仿宋_GB2312" w:eastAsia="仿宋_GB2312"/>
          <w:sz w:val="28"/>
          <w:szCs w:val="28"/>
        </w:rPr>
      </w:pPr>
      <w:r>
        <w:rPr>
          <w:rFonts w:hint="eastAsia" w:ascii="仿宋_GB2312" w:eastAsia="仿宋_GB2312"/>
          <w:sz w:val="28"/>
          <w:szCs w:val="28"/>
        </w:rPr>
        <w:t>1.因公出国（境）费用。</w:t>
      </w:r>
      <w:r>
        <w:rPr>
          <w:rFonts w:hint="eastAsia" w:ascii="仿宋_GB2312" w:eastAsia="仿宋_GB2312"/>
          <w:sz w:val="28"/>
          <w:szCs w:val="28"/>
          <w:lang w:eastAsia="zh-CN"/>
        </w:rPr>
        <w:t>本单位无此项经费，</w:t>
      </w:r>
      <w:r>
        <w:rPr>
          <w:rFonts w:hint="eastAsia" w:ascii="仿宋_GB2312" w:eastAsia="仿宋_GB2312"/>
          <w:sz w:val="28"/>
          <w:szCs w:val="28"/>
        </w:rPr>
        <w:t>2024年度决算数</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万元，与2024年度年初预算数</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万元持平。</w:t>
      </w:r>
    </w:p>
    <w:p>
      <w:pPr>
        <w:spacing w:line="560" w:lineRule="exact"/>
        <w:ind w:firstLine="600"/>
        <w:rPr>
          <w:rFonts w:ascii="仿宋_GB2312" w:eastAsia="仿宋_GB2312"/>
          <w:sz w:val="28"/>
          <w:szCs w:val="28"/>
        </w:rPr>
      </w:pPr>
      <w:r>
        <w:rPr>
          <w:rFonts w:hint="eastAsia" w:ascii="仿宋_GB2312" w:eastAsia="仿宋_GB2312"/>
          <w:sz w:val="28"/>
          <w:szCs w:val="28"/>
        </w:rPr>
        <w:t>2.公务接待费。</w:t>
      </w:r>
      <w:r>
        <w:rPr>
          <w:rFonts w:hint="eastAsia" w:ascii="仿宋_GB2312" w:eastAsia="仿宋_GB2312"/>
          <w:sz w:val="28"/>
          <w:szCs w:val="28"/>
          <w:lang w:eastAsia="zh-CN"/>
        </w:rPr>
        <w:t>本单位无此项支出，</w:t>
      </w:r>
      <w:r>
        <w:rPr>
          <w:rFonts w:hint="eastAsia" w:ascii="仿宋_GB2312" w:eastAsia="仿宋_GB2312"/>
          <w:sz w:val="28"/>
          <w:szCs w:val="28"/>
        </w:rPr>
        <w:t>2024年度决算数</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万元，比2024年度年初预算数0.5</w:t>
      </w:r>
      <w:r>
        <w:rPr>
          <w:rFonts w:hint="eastAsia" w:ascii="仿宋_GB2312" w:eastAsia="仿宋_GB2312"/>
          <w:sz w:val="28"/>
          <w:szCs w:val="28"/>
          <w:lang w:val="en-US" w:eastAsia="zh-CN"/>
        </w:rPr>
        <w:t>0</w:t>
      </w:r>
      <w:r>
        <w:rPr>
          <w:rFonts w:hint="eastAsia" w:ascii="仿宋_GB2312" w:eastAsia="仿宋_GB2312"/>
          <w:sz w:val="28"/>
          <w:szCs w:val="28"/>
        </w:rPr>
        <w:t>万元减少0.5</w:t>
      </w:r>
      <w:r>
        <w:rPr>
          <w:rFonts w:hint="eastAsia" w:ascii="仿宋_GB2312" w:eastAsia="仿宋_GB2312"/>
          <w:sz w:val="28"/>
          <w:szCs w:val="28"/>
          <w:lang w:val="en-US" w:eastAsia="zh-CN"/>
        </w:rPr>
        <w:t>0</w:t>
      </w:r>
      <w:r>
        <w:rPr>
          <w:rFonts w:hint="eastAsia" w:ascii="仿宋_GB2312" w:eastAsia="仿宋_GB2312"/>
          <w:sz w:val="28"/>
          <w:szCs w:val="28"/>
        </w:rPr>
        <w:t>万元。主要原因：厉行节约严控公务接待。</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7.27</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30</w:t>
      </w:r>
      <w:r>
        <w:rPr>
          <w:rFonts w:hint="eastAsia" w:ascii="仿宋_GB2312" w:eastAsia="仿宋_GB2312"/>
          <w:sz w:val="28"/>
          <w:szCs w:val="28"/>
          <w:lang w:val="en-US" w:eastAsia="zh-CN"/>
        </w:rPr>
        <w:t>.00</w:t>
      </w:r>
      <w:r>
        <w:rPr>
          <w:rFonts w:hint="eastAsia" w:ascii="仿宋_GB2312" w:eastAsia="仿宋_GB2312"/>
          <w:sz w:val="28"/>
          <w:szCs w:val="28"/>
        </w:rPr>
        <w:t>万元减少</w:t>
      </w:r>
      <w:r>
        <w:rPr>
          <w:rFonts w:ascii="仿宋_GB2312" w:eastAsia="仿宋_GB2312"/>
          <w:sz w:val="28"/>
          <w:szCs w:val="28"/>
        </w:rPr>
        <w:t>22.73</w:t>
      </w:r>
      <w:r>
        <w:rPr>
          <w:rFonts w:hint="eastAsia" w:ascii="仿宋_GB2312" w:eastAsia="仿宋_GB2312"/>
          <w:sz w:val="28"/>
          <w:szCs w:val="28"/>
        </w:rPr>
        <w:t>万元。其中，</w:t>
      </w:r>
      <w:r>
        <w:rPr>
          <w:rFonts w:hint="eastAsia" w:ascii="仿宋_GB2312" w:eastAsia="仿宋_GB2312"/>
          <w:sz w:val="28"/>
          <w:szCs w:val="28"/>
          <w:lang w:eastAsia="zh-CN"/>
        </w:rPr>
        <w:t>本单位无</w:t>
      </w:r>
      <w:r>
        <w:rPr>
          <w:rFonts w:hint="eastAsia" w:ascii="仿宋_GB2312" w:eastAsia="仿宋_GB2312"/>
          <w:sz w:val="28"/>
          <w:szCs w:val="28"/>
        </w:rPr>
        <w:t>公务用车购置费</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7.27</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主要原因：厉行节约严控公务用车运行维护费。202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13</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520.33</w:t>
      </w:r>
      <w:r>
        <w:rPr>
          <w:rFonts w:hint="eastAsia" w:ascii="仿宋_GB2312" w:eastAsia="仿宋_GB2312"/>
          <w:sz w:val="28"/>
          <w:szCs w:val="28"/>
        </w:rPr>
        <w:t>万元，比上年减少9</w:t>
      </w:r>
      <w:r>
        <w:rPr>
          <w:rFonts w:ascii="仿宋_GB2312" w:eastAsia="仿宋_GB2312"/>
          <w:sz w:val="28"/>
          <w:szCs w:val="28"/>
        </w:rPr>
        <w:t>3.70</w:t>
      </w:r>
      <w:r>
        <w:rPr>
          <w:rFonts w:hint="eastAsia" w:ascii="仿宋_GB2312" w:eastAsia="仿宋_GB2312"/>
          <w:sz w:val="28"/>
          <w:szCs w:val="28"/>
        </w:rPr>
        <w:t>万元，减少原因：落实政府过紧日子的要求，压减和严控一般性支出。</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271.57</w:t>
      </w:r>
      <w:r>
        <w:rPr>
          <w:rFonts w:hint="eastAsia" w:ascii="仿宋_GB2312" w:eastAsia="仿宋_GB2312"/>
          <w:sz w:val="28"/>
          <w:szCs w:val="28"/>
        </w:rPr>
        <w:t>万元，其中：政府采购货物支出</w:t>
      </w:r>
      <w:r>
        <w:rPr>
          <w:rFonts w:ascii="仿宋_GB2312" w:eastAsia="仿宋_GB2312"/>
          <w:sz w:val="28"/>
          <w:szCs w:val="28"/>
        </w:rPr>
        <w:t>1.17</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万元，政府采购服务支出</w:t>
      </w:r>
      <w:r>
        <w:rPr>
          <w:rFonts w:ascii="仿宋_GB2312" w:eastAsia="仿宋_GB2312"/>
          <w:sz w:val="28"/>
          <w:szCs w:val="28"/>
        </w:rPr>
        <w:t>270.4</w:t>
      </w:r>
      <w:r>
        <w:rPr>
          <w:rFonts w:hint="eastAsia" w:ascii="仿宋_GB2312" w:eastAsia="仿宋_GB2312"/>
          <w:sz w:val="28"/>
          <w:szCs w:val="28"/>
          <w:lang w:val="en-US" w:eastAsia="zh-CN"/>
        </w:rPr>
        <w:t>0</w:t>
      </w:r>
      <w:r>
        <w:rPr>
          <w:rFonts w:hint="eastAsia" w:ascii="仿宋_GB2312" w:eastAsia="仿宋_GB2312"/>
          <w:sz w:val="28"/>
          <w:szCs w:val="28"/>
        </w:rPr>
        <w:t>万元。授予中小企业合同金额</w:t>
      </w:r>
      <w:r>
        <w:rPr>
          <w:rFonts w:ascii="仿宋_GB2312" w:eastAsia="仿宋_GB2312"/>
          <w:sz w:val="28"/>
          <w:szCs w:val="28"/>
        </w:rPr>
        <w:t>99.82</w:t>
      </w:r>
      <w:r>
        <w:rPr>
          <w:rFonts w:hint="eastAsia" w:ascii="仿宋_GB2312" w:eastAsia="仿宋_GB2312"/>
          <w:sz w:val="28"/>
          <w:szCs w:val="28"/>
        </w:rPr>
        <w:t>万元，占政府采购支出总额的</w:t>
      </w:r>
      <w:r>
        <w:rPr>
          <w:rFonts w:hint="eastAsia" w:ascii="仿宋_GB2312" w:eastAsia="仿宋_GB2312"/>
          <w:sz w:val="28"/>
          <w:szCs w:val="28"/>
          <w:lang w:eastAsia="zh-CN"/>
        </w:rPr>
        <w:t>36.76</w:t>
      </w:r>
      <w:r>
        <w:rPr>
          <w:rFonts w:hint="eastAsia" w:ascii="仿宋_GB2312" w:eastAsia="仿宋_GB2312"/>
          <w:sz w:val="28"/>
          <w:szCs w:val="28"/>
        </w:rPr>
        <w:t>%，其中：授予小微企业合同金额</w:t>
      </w:r>
      <w:r>
        <w:rPr>
          <w:rFonts w:ascii="仿宋_GB2312" w:eastAsia="仿宋_GB2312"/>
          <w:sz w:val="28"/>
          <w:szCs w:val="28"/>
        </w:rPr>
        <w:t>14.55</w:t>
      </w:r>
      <w:r>
        <w:rPr>
          <w:rFonts w:hint="eastAsia" w:ascii="仿宋_GB2312" w:eastAsia="仿宋_GB2312"/>
          <w:sz w:val="28"/>
          <w:szCs w:val="28"/>
        </w:rPr>
        <w:t>万元，占政府采购支出总额的</w:t>
      </w:r>
      <w:r>
        <w:rPr>
          <w:rFonts w:ascii="仿宋_GB2312" w:eastAsia="仿宋_GB2312"/>
          <w:sz w:val="28"/>
          <w:szCs w:val="28"/>
        </w:rPr>
        <w:t>5.36</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12月31日，北京市农业综合执法总队</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13</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3</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政府购买服务决算281.44</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 xml:space="preserve"> </w:t>
      </w: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 xml:space="preserve"> </w:t>
      </w: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pStyle w:val="3"/>
        <w:ind w:firstLine="199" w:firstLineChars="71"/>
        <w:rPr>
          <w:rFonts w:ascii="仿宋_GB2312" w:eastAsia="仿宋_GB2312"/>
          <w:sz w:val="28"/>
          <w:szCs w:val="28"/>
        </w:rPr>
      </w:pPr>
      <w:r>
        <w:rPr>
          <w:rFonts w:hint="eastAsia" w:ascii="仿宋_GB2312" w:eastAsia="仿宋_GB2312"/>
          <w:sz w:val="28"/>
          <w:szCs w:val="28"/>
          <w:lang w:val="en-US" w:eastAsia="zh-CN"/>
        </w:rPr>
        <w:t xml:space="preserve">   7.</w:t>
      </w:r>
      <w:r>
        <w:rPr>
          <w:rFonts w:ascii="仿宋_GB2312" w:eastAsia="仿宋_GB2312"/>
          <w:sz w:val="28"/>
          <w:szCs w:val="28"/>
        </w:rPr>
        <w:t>功能分类项级科目名词解释</w:t>
      </w:r>
    </w:p>
    <w:p>
      <w:pPr>
        <w:pStyle w:val="3"/>
        <w:ind w:firstLine="560"/>
        <w:rPr>
          <w:rFonts w:ascii="仿宋_GB2312" w:eastAsia="仿宋_GB2312"/>
          <w:sz w:val="28"/>
          <w:szCs w:val="28"/>
        </w:rPr>
      </w:pPr>
      <w:r>
        <w:rPr>
          <w:rFonts w:ascii="仿宋_GB2312" w:eastAsia="仿宋_GB2312"/>
          <w:sz w:val="28"/>
          <w:szCs w:val="28"/>
        </w:rPr>
        <w:t>教育支出（类）进修及培训（款）培训支出（项）：反映各部门安排的用于培训的支出。</w:t>
      </w:r>
    </w:p>
    <w:p>
      <w:pPr>
        <w:pStyle w:val="3"/>
        <w:ind w:firstLine="560"/>
        <w:rPr>
          <w:rFonts w:ascii="仿宋_GB2312" w:eastAsia="仿宋_GB2312"/>
          <w:sz w:val="28"/>
          <w:szCs w:val="28"/>
        </w:rPr>
      </w:pPr>
      <w:r>
        <w:rPr>
          <w:rFonts w:ascii="仿宋_GB2312" w:eastAsia="仿宋_GB2312"/>
          <w:sz w:val="28"/>
          <w:szCs w:val="28"/>
        </w:rPr>
        <w:t>社会保障和就业支出（类）行政事业单位养老支出（款）行政单位离退休（项）：反映行政单位（包括实行公务员管理的事业单位）开支的离退休经费。</w:t>
      </w:r>
    </w:p>
    <w:p>
      <w:pPr>
        <w:pStyle w:val="3"/>
        <w:ind w:firstLine="560"/>
        <w:rPr>
          <w:rFonts w:ascii="仿宋_GB2312" w:eastAsia="仿宋_GB2312"/>
          <w:sz w:val="28"/>
          <w:szCs w:val="28"/>
        </w:rPr>
      </w:pPr>
      <w:r>
        <w:rPr>
          <w:rFonts w:ascii="仿宋_GB2312" w:eastAsia="仿宋_GB2312"/>
          <w:sz w:val="28"/>
          <w:szCs w:val="28"/>
        </w:rPr>
        <w:t>社会保障和就业支出（类）行政事业单位养老支出（款）机关事业单位基本养老保险缴费支出（项）：反映机关事业单位实施养老保险制度由各单位缴纳的基本养老保险支出。</w:t>
      </w:r>
    </w:p>
    <w:p>
      <w:pPr>
        <w:pStyle w:val="3"/>
        <w:ind w:firstLine="560"/>
        <w:rPr>
          <w:rFonts w:ascii="仿宋_GB2312" w:eastAsia="仿宋_GB2312"/>
          <w:sz w:val="28"/>
          <w:szCs w:val="28"/>
        </w:rPr>
      </w:pPr>
      <w:r>
        <w:rPr>
          <w:rFonts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pPr>
        <w:pStyle w:val="3"/>
        <w:ind w:firstLine="560"/>
        <w:rPr>
          <w:rFonts w:ascii="仿宋_GB2312" w:eastAsia="仿宋_GB2312"/>
          <w:sz w:val="28"/>
          <w:szCs w:val="28"/>
        </w:rPr>
      </w:pPr>
      <w:r>
        <w:rPr>
          <w:rFonts w:ascii="仿宋_GB2312" w:eastAsia="仿宋_GB2312"/>
          <w:sz w:val="28"/>
          <w:szCs w:val="28"/>
        </w:rPr>
        <w:t>卫生健康支出（类）行政事业单位医疗（款）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pPr>
        <w:pStyle w:val="3"/>
        <w:ind w:firstLine="560"/>
        <w:rPr>
          <w:rFonts w:ascii="仿宋_GB2312" w:eastAsia="仿宋_GB2312"/>
          <w:sz w:val="28"/>
          <w:szCs w:val="28"/>
        </w:rPr>
      </w:pPr>
      <w:r>
        <w:rPr>
          <w:rFonts w:ascii="仿宋_GB2312" w:eastAsia="仿宋_GB2312"/>
          <w:sz w:val="28"/>
          <w:szCs w:val="28"/>
        </w:rPr>
        <w:t>农林水支出（类）农业农村（款）行政运行（项）：反映行政单位（包括实行公务员管理的事业单位）的基本支出。</w:t>
      </w:r>
    </w:p>
    <w:p>
      <w:pPr>
        <w:pStyle w:val="3"/>
        <w:ind w:firstLine="560"/>
        <w:rPr>
          <w:rFonts w:ascii="仿宋_GB2312" w:eastAsia="仿宋_GB2312"/>
          <w:sz w:val="28"/>
          <w:szCs w:val="28"/>
        </w:rPr>
      </w:pPr>
      <w:r>
        <w:rPr>
          <w:rFonts w:ascii="仿宋_GB2312" w:eastAsia="仿宋_GB2312"/>
          <w:sz w:val="28"/>
          <w:szCs w:val="28"/>
        </w:rPr>
        <w:t>农林水支出（类）农业农村（款）执法监管（项）：反映用于农业农村法制建设、行政执法、行政复议、行政诉讼等方面的支出。</w:t>
      </w:r>
    </w:p>
    <w:p>
      <w:pPr>
        <w:numPr>
          <w:ilvl w:val="0"/>
          <w:numId w:val="0"/>
        </w:numPr>
        <w:ind w:firstLine="632" w:firstLineChars="200"/>
        <w:rPr>
          <w:rFonts w:hint="eastAsia" w:ascii="仿宋_GB2312" w:eastAsia="仿宋_GB2312"/>
          <w:sz w:val="28"/>
          <w:szCs w:val="28"/>
          <w:lang w:val="en-US" w:eastAsia="zh-CN"/>
        </w:rPr>
      </w:pP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pStyle w:val="2"/>
        <w:rPr>
          <w:rFonts w:hint="eastAsia" w:ascii="黑体" w:eastAsia="黑体"/>
          <w:sz w:val="32"/>
          <w:szCs w:val="32"/>
        </w:rPr>
      </w:pPr>
    </w:p>
    <w:p>
      <w:pPr>
        <w:rPr>
          <w:rFonts w:hint="eastAsia" w:ascii="黑体" w:eastAsia="黑体"/>
          <w:sz w:val="32"/>
          <w:szCs w:val="32"/>
        </w:rPr>
      </w:pPr>
    </w:p>
    <w:p>
      <w:pPr>
        <w:pStyle w:val="2"/>
        <w:rPr>
          <w:rFonts w:hint="eastAsia" w:ascii="黑体" w:eastAsia="黑体"/>
          <w:sz w:val="32"/>
          <w:szCs w:val="32"/>
        </w:rPr>
      </w:pPr>
    </w:p>
    <w:p>
      <w:pPr>
        <w:rPr>
          <w:rFonts w:hint="eastAsia" w:ascii="黑体" w:eastAsia="黑体"/>
          <w:sz w:val="32"/>
          <w:szCs w:val="32"/>
        </w:rPr>
      </w:pPr>
    </w:p>
    <w:p>
      <w:pPr>
        <w:pStyle w:val="2"/>
        <w:rPr>
          <w:rFonts w:hint="eastAsia"/>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0"/>
        </w:numPr>
        <w:rPr>
          <w:rFonts w:ascii="黑体" w:eastAsia="黑体"/>
          <w:sz w:val="28"/>
          <w:szCs w:val="28"/>
        </w:rPr>
      </w:pPr>
      <w:r>
        <w:rPr>
          <w:rFonts w:hint="eastAsia" w:ascii="黑体" w:eastAsia="黑体"/>
          <w:sz w:val="28"/>
          <w:szCs w:val="28"/>
          <w:lang w:val="en-US" w:eastAsia="zh-CN"/>
        </w:rPr>
        <w:t xml:space="preserve">   </w:t>
      </w:r>
      <w:r>
        <w:rPr>
          <w:rFonts w:hint="eastAsia" w:ascii="仿宋_GB2312" w:hAnsi="Times New Roman" w:eastAsia="仿宋_GB2312" w:cs="Times New Roman"/>
          <w:kern w:val="2"/>
          <w:sz w:val="28"/>
          <w:szCs w:val="28"/>
          <w:lang w:val="en-US" w:eastAsia="zh-CN" w:bidi="ar-SA"/>
        </w:rPr>
        <w:t xml:space="preserve"> 项目</w:t>
      </w:r>
      <w:r>
        <w:rPr>
          <w:rFonts w:ascii="仿宋_GB2312" w:hAnsi="Times New Roman" w:eastAsia="仿宋_GB2312" w:cs="Times New Roman"/>
          <w:kern w:val="2"/>
          <w:sz w:val="28"/>
          <w:szCs w:val="28"/>
          <w:lang w:val="en-US" w:eastAsia="zh-CN" w:bidi="ar-SA"/>
        </w:rPr>
        <w:t>支出绩效自评表</w:t>
      </w:r>
      <w:r>
        <w:rPr>
          <w:rFonts w:hint="eastAsia" w:ascii="仿宋_GB2312" w:hAnsi="Times New Roman" w:eastAsia="仿宋_GB2312" w:cs="Times New Roman"/>
          <w:kern w:val="2"/>
          <w:sz w:val="28"/>
          <w:szCs w:val="28"/>
          <w:lang w:val="en-US" w:eastAsia="zh-CN" w:bidi="ar-SA"/>
        </w:rPr>
        <w:t>（详见附件）</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Chinese Quot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8867FB"/>
    <w:rsid w:val="02F120AB"/>
    <w:rsid w:val="02F46E1F"/>
    <w:rsid w:val="032B5196"/>
    <w:rsid w:val="04C3537C"/>
    <w:rsid w:val="060F37E1"/>
    <w:rsid w:val="06FE3602"/>
    <w:rsid w:val="079004AC"/>
    <w:rsid w:val="0BA148CA"/>
    <w:rsid w:val="0C1165C4"/>
    <w:rsid w:val="0D6D544B"/>
    <w:rsid w:val="0DD136FE"/>
    <w:rsid w:val="0F8E2C57"/>
    <w:rsid w:val="1059665E"/>
    <w:rsid w:val="10AC13BA"/>
    <w:rsid w:val="145A6C1B"/>
    <w:rsid w:val="14B73493"/>
    <w:rsid w:val="167A2FF9"/>
    <w:rsid w:val="18581C69"/>
    <w:rsid w:val="1AEC0734"/>
    <w:rsid w:val="1DEF20B0"/>
    <w:rsid w:val="1F636225"/>
    <w:rsid w:val="214243FA"/>
    <w:rsid w:val="21AD613C"/>
    <w:rsid w:val="22467189"/>
    <w:rsid w:val="24E17F86"/>
    <w:rsid w:val="25335433"/>
    <w:rsid w:val="257A14F5"/>
    <w:rsid w:val="27196C26"/>
    <w:rsid w:val="29EF086F"/>
    <w:rsid w:val="2ADD7EFD"/>
    <w:rsid w:val="2EFFE297"/>
    <w:rsid w:val="301437CA"/>
    <w:rsid w:val="312A5A54"/>
    <w:rsid w:val="349D1F0A"/>
    <w:rsid w:val="34DD0473"/>
    <w:rsid w:val="39AF1F9B"/>
    <w:rsid w:val="3C684897"/>
    <w:rsid w:val="400A3E0C"/>
    <w:rsid w:val="433E495C"/>
    <w:rsid w:val="46B06D36"/>
    <w:rsid w:val="489F2FD7"/>
    <w:rsid w:val="48A36F40"/>
    <w:rsid w:val="4A225A19"/>
    <w:rsid w:val="4AC27CB3"/>
    <w:rsid w:val="4BF72BEF"/>
    <w:rsid w:val="4EBA0B07"/>
    <w:rsid w:val="4FA90297"/>
    <w:rsid w:val="4FC41A43"/>
    <w:rsid w:val="51DB3C59"/>
    <w:rsid w:val="550C0952"/>
    <w:rsid w:val="55762E42"/>
    <w:rsid w:val="571C2337"/>
    <w:rsid w:val="57A7B272"/>
    <w:rsid w:val="58470068"/>
    <w:rsid w:val="58747CAC"/>
    <w:rsid w:val="58D00887"/>
    <w:rsid w:val="5A1720F9"/>
    <w:rsid w:val="5B9C37C2"/>
    <w:rsid w:val="5BA7C654"/>
    <w:rsid w:val="60A54109"/>
    <w:rsid w:val="61D01CDF"/>
    <w:rsid w:val="64C0607C"/>
    <w:rsid w:val="65756C86"/>
    <w:rsid w:val="66CD5D2E"/>
    <w:rsid w:val="66F73FF4"/>
    <w:rsid w:val="674D385B"/>
    <w:rsid w:val="676F09E1"/>
    <w:rsid w:val="6E876431"/>
    <w:rsid w:val="6E9B5C28"/>
    <w:rsid w:val="70820E0C"/>
    <w:rsid w:val="71793A80"/>
    <w:rsid w:val="7357290B"/>
    <w:rsid w:val="75E71FC1"/>
    <w:rsid w:val="798524E4"/>
    <w:rsid w:val="7A3F1E5D"/>
    <w:rsid w:val="7A7F1C49"/>
    <w:rsid w:val="7B5B7AE6"/>
    <w:rsid w:val="7B7B6628"/>
    <w:rsid w:val="7BA7071E"/>
    <w:rsid w:val="7BDF6DA8"/>
    <w:rsid w:val="7C4C3DEC"/>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t>收入决算</a:t>
            </a:r>
          </a:p>
        </c:rich>
      </c:tx>
      <c:layout/>
      <c:overlay val="0"/>
      <c:spPr>
        <a:noFill/>
        <a:ln>
          <a:noFill/>
        </a:ln>
        <a:effectLst/>
      </c:spPr>
    </c:title>
    <c:autoTitleDeleted val="0"/>
    <c:plotArea>
      <c:layout/>
      <c:pieChart>
        <c:varyColors val="1"/>
        <c:ser>
          <c:idx val="0"/>
          <c:order val="0"/>
          <c:tx>
            <c:strRef>
              <c:f>Sheet1!$B$1</c:f>
              <c:strCache>
                <c:ptCount val="1"/>
                <c:pt idx="0">
                  <c:v>收入</c:v>
                </c:pt>
              </c:strCache>
            </c:strRef>
          </c:tx>
          <c:spPr/>
          <c:explosion val="0"/>
          <c:dPt>
            <c:idx val="0"/>
            <c:bubble3D val="0"/>
            <c:spPr>
              <a:solidFill>
                <a:schemeClr val="accent1">
                  <a:shade val="76667"/>
                </a:schemeClr>
              </a:solidFill>
              <a:ln w="19050">
                <a:solidFill>
                  <a:schemeClr val="lt1"/>
                </a:solidFill>
              </a:ln>
              <a:effectLst/>
            </c:spPr>
          </c:dPt>
          <c:dPt>
            <c:idx val="1"/>
            <c:bubble3D val="0"/>
            <c:spPr>
              <a:solidFill>
                <a:schemeClr val="accent2">
                  <a:shade val="76667"/>
                </a:schemeClr>
              </a:solidFill>
              <a:ln w="19050">
                <a:solidFill>
                  <a:schemeClr val="lt1"/>
                </a:solidFill>
              </a:ln>
              <a:effectLst/>
            </c:spPr>
          </c:dPt>
          <c:dPt>
            <c:idx val="2"/>
            <c:bubble3D val="0"/>
            <c:spPr>
              <a:solidFill>
                <a:schemeClr val="accent3">
                  <a:shade val="76667"/>
                </a:schemeClr>
              </a:solidFill>
              <a:ln w="19050">
                <a:solidFill>
                  <a:schemeClr val="lt1"/>
                </a:solidFill>
              </a:ln>
              <a:effectLst/>
            </c:spPr>
          </c:dPt>
          <c:dPt>
            <c:idx val="3"/>
            <c:bubble3D val="0"/>
            <c:spPr>
              <a:solidFill>
                <a:schemeClr val="accent4">
                  <a:shade val="76667"/>
                </a:schemeClr>
              </a:solidFill>
              <a:ln w="19050">
                <a:solidFill>
                  <a:schemeClr val="lt1"/>
                </a:solidFill>
              </a:ln>
              <a:effectLst/>
            </c:spPr>
          </c:dPt>
          <c:dPt>
            <c:idx val="4"/>
            <c:bubble3D val="0"/>
            <c:spPr>
              <a:solidFill>
                <a:schemeClr val="accent5">
                  <a:shade val="76667"/>
                </a:schemeClr>
              </a:solidFill>
              <a:ln w="19050">
                <a:solidFill>
                  <a:schemeClr val="lt1"/>
                </a:solidFill>
              </a:ln>
              <a:effectLst/>
            </c:spPr>
          </c:dPt>
          <c:dPt>
            <c:idx val="5"/>
            <c:bubble3D val="0"/>
            <c:spPr>
              <a:solidFill>
                <a:schemeClr val="accent6">
                  <a:shade val="76667"/>
                </a:schemeClr>
              </a:solidFill>
              <a:ln w="19050">
                <a:solidFill>
                  <a:schemeClr val="lt1"/>
                </a:solidFill>
              </a:ln>
              <a:effectLst/>
            </c:spPr>
          </c:dPt>
          <c:dLbls>
            <c:dLbl>
              <c:idx val="1"/>
              <c:delete val="1"/>
            </c:dLbl>
            <c:dLbl>
              <c:idx val="2"/>
              <c:delete val="1"/>
            </c:dLbl>
            <c:dLbl>
              <c:idx val="3"/>
              <c:delete val="1"/>
            </c:dLbl>
            <c:dLbl>
              <c:idx val="4"/>
              <c:delete val="1"/>
            </c:dLbl>
            <c:dLbl>
              <c:idx val="5"/>
              <c:layout>
                <c:manualLayout>
                  <c:x val="-0.12033978291647"/>
                  <c:y val="-0.175893100627216"/>
                </c:manualLayout>
              </c:layout>
              <c:dLblPos val="ctr"/>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formatCode="General">
                  <c:v>6293.74</c:v>
                </c:pt>
                <c:pt idx="1" c:formatCode="General">
                  <c:v>0</c:v>
                </c:pt>
                <c:pt idx="2" c:formatCode="General">
                  <c:v>0</c:v>
                </c:pt>
                <c:pt idx="3" c:formatCode="General">
                  <c:v>0</c:v>
                </c:pt>
                <c:pt idx="4" c:formatCode="General">
                  <c:v>0</c:v>
                </c:pt>
                <c:pt idx="5" c:formatCode="General">
                  <c:v>93.56</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egendEntry>
        <c:idx val="1"/>
        <c:delete val="1"/>
      </c:legendEntry>
      <c:legendEntry>
        <c:idx val="2"/>
        <c:delete val="1"/>
      </c:legendEntry>
      <c:legendEntry>
        <c:idx val="3"/>
        <c:delete val="1"/>
      </c:legendEntry>
      <c:legendEntry>
        <c:idx val="4"/>
        <c:delete val="1"/>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支出决算</a:t>
            </a: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Lbls>
            <c:dLbl>
              <c:idx val="1"/>
              <c:layout>
                <c:manualLayout>
                  <c:x val="-0.191666666666667"/>
                  <c:y val="-0.142361111111111"/>
                </c:manualLayout>
              </c:layout>
              <c:dLblPos val="ctr"/>
              <c:showLegendKey val="0"/>
              <c:showVal val="0"/>
              <c:showCatName val="0"/>
              <c:showSerName val="0"/>
              <c:showPercent val="1"/>
              <c:showBubbleSize val="0"/>
              <c:extLst>
                <c:ext xmlns:c15="http://schemas.microsoft.com/office/drawing/2012/chart" uri="{CE6537A1-D6FC-4f65-9D91-7224C49458BB}">
                  <c15:layout/>
                </c:ext>
              </c:extLst>
            </c:dLbl>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formatCode="General">
                  <c:v>5839.91</c:v>
                </c:pt>
                <c:pt idx="1" c:formatCode="General">
                  <c:v>383.38</c:v>
                </c:pt>
                <c:pt idx="2" c:formatCode="General">
                  <c:v>0</c:v>
                </c:pt>
                <c:pt idx="3" c:formatCode="General">
                  <c:v>0</c:v>
                </c:pt>
                <c:pt idx="4" c:formatCode="General">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2"/>
        <c:delete val="1"/>
      </c:legendEntry>
      <c:legendEntry>
        <c:idx val="3"/>
        <c:delete val="1"/>
      </c:legendEntry>
      <c:legendEntry>
        <c:idx val="4"/>
        <c:delete val="1"/>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acrossLinear" id="2">
  <a:schemeClr val="accent1"/>
  <a:schemeClr val="accent2"/>
  <a:schemeClr val="accent3"/>
  <a:schemeClr val="accent4"/>
  <a:schemeClr val="accent5"/>
  <a:schemeClr val="accent6"/>
</cs:colorStyle>
</file>

<file path=word/charts/colors2.xml><?xml version="1.0" encoding="utf-8"?>
<cs:colorStyle xmlns:cs="http://schemas.microsoft.com/office/drawing/2012/chartStyle" xmlns:a="http://schemas.openxmlformats.org/drawingml/2006/main" meth="acrossLinear" id="2">
  <a:schemeClr val="accent1"/>
  <a:schemeClr val="accent2"/>
  <a:schemeClr val="accent3"/>
  <a:schemeClr val="accent4"/>
  <a:schemeClr val="accent5"/>
  <a:schemeClr val="accent6"/>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3432</Words>
  <Characters>5781</Characters>
  <Lines>44</Lines>
  <Paragraphs>12</Paragraphs>
  <ScaleCrop>false</ScaleCrop>
  <LinksUpToDate>false</LinksUpToDate>
  <CharactersWithSpaces>5802</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yu</cp:lastModifiedBy>
  <cp:lastPrinted>2025-09-01T02:40:00Z</cp:lastPrinted>
  <dcterms:modified xsi:type="dcterms:W3CDTF">2025-09-05T01:27:32Z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