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北京市农业农村局（本级）</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北京市农业农村局机关（本级）内设机构3</w:t>
      </w:r>
      <w:r>
        <w:rPr>
          <w:rFonts w:hint="eastAsia" w:ascii="仿宋_GB2312" w:eastAsia="仿宋_GB2312"/>
          <w:sz w:val="28"/>
          <w:szCs w:val="28"/>
          <w:lang w:val="en-US" w:eastAsia="zh-CN"/>
        </w:rPr>
        <w:t>2</w:t>
      </w:r>
      <w:r>
        <w:rPr>
          <w:rFonts w:hint="eastAsia" w:ascii="仿宋_GB2312" w:eastAsia="仿宋_GB2312"/>
          <w:sz w:val="28"/>
          <w:szCs w:val="28"/>
        </w:rPr>
        <w:t>个，分别为：办公室、组织处、宣传与文化处、干部人事处、人才工作处、法制处、发展规划处、计划财务处、行政审批处、产业发展处（北京市农业产业化办公室）、村镇建设处、生态建设处、农村社会事业促进处、农村合作经济指导处、农村土地承包管理处、宅基地管理处、市场与信息化处、科技处（北京市农业转基因生物安全管理办公室）、动植物疫情应急工作处（社会管理处）、农产品质量安全处、种植业管理处（农药管理处）、畜牧渔业处、兽医兽药处、种业管理处、农田建设管理处、农业机械化管理处、合作交流处、支援协作处、机关纪委、工会、离退休干部处、纪检机构按有关规定派驻。</w:t>
      </w:r>
    </w:p>
    <w:p>
      <w:pPr>
        <w:tabs>
          <w:tab w:val="center" w:pos="6979"/>
        </w:tabs>
        <w:spacing w:line="580" w:lineRule="exact"/>
        <w:ind w:firstLine="560"/>
        <w:rPr>
          <w:rFonts w:hint="eastAsia" w:ascii="仿宋_GB2312" w:eastAsia="仿宋_GB2312"/>
          <w:b/>
          <w:sz w:val="32"/>
          <w:szCs w:val="32"/>
        </w:rPr>
      </w:pPr>
      <w:r>
        <w:rPr>
          <w:rFonts w:hint="eastAsia" w:ascii="仿宋_GB2312" w:eastAsia="仿宋_GB2312"/>
          <w:sz w:val="28"/>
          <w:szCs w:val="28"/>
        </w:rPr>
        <w:t>北京市农业农村局机关（本级）职责是：原北京市农业农村局是市政府组成部门,根据《北京市机构改革实施方案》, 中共北京市委农村工作委员会与原北京市农业农村局合署办公。原北京市农业农村局主要职责：贯彻执行国家关于“三农”工作的发展战略、中长期规划、重大政策及有关法律法规规章。统筹推动发展本市农村社会事业、农村公共服务、农村文化、农村基础设施。负责指导本市农村合作经济经营管理工作。指导本市乡村特色产业、农产品加工业和休闲农业发展工作。组织构建本市现代农业产业体系、生产体系、经营体系。负责本市食用农产品从种植养殖环节到进入批发、零售市场或者生产加工企业前质量安全监督管理。指导本市基本农田、渔业水域以及农业生物物种资源保护与管理工作，负责水生野生动植物保护、耕地及永久基本农田质量保护工作。负责本市有关农业生产资料和农业投入品的监督管理。负责本市农业防灾减灾、农作物重大病虫害防治工作。负责本市农业投资管理。提出农业投融资体制机制改革建议。推动本市农业科技体制改革和农业科技创新体系建设。研究拟订本市山区发展规划和年度指导性计划等。</w:t>
      </w:r>
      <w:r>
        <w:rPr>
          <w:rFonts w:hint="eastAsia" w:ascii="仿宋_GB2312" w:eastAsia="仿宋_GB2312"/>
          <w:b/>
          <w:sz w:val="32"/>
          <w:szCs w:val="32"/>
        </w:rPr>
        <w:t xml:space="preserve">   </w:t>
      </w:r>
    </w:p>
    <w:p>
      <w:pPr>
        <w:tabs>
          <w:tab w:val="center" w:pos="6979"/>
        </w:tabs>
        <w:spacing w:line="580" w:lineRule="exact"/>
        <w:ind w:firstLine="560"/>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70385.44</w:t>
      </w:r>
      <w:r>
        <w:rPr>
          <w:rFonts w:hint="eastAsia" w:ascii="仿宋_GB2312" w:eastAsia="仿宋_GB2312"/>
          <w:sz w:val="28"/>
          <w:szCs w:val="28"/>
        </w:rPr>
        <w:t>万元，比上年减少2819.6万元，下降3.85%。</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65339.81</w:t>
      </w:r>
      <w:r>
        <w:rPr>
          <w:rFonts w:hint="eastAsia" w:ascii="仿宋_GB2312" w:eastAsia="仿宋_GB2312"/>
          <w:sz w:val="28"/>
          <w:szCs w:val="28"/>
        </w:rPr>
        <w:t>万元，比上年减少1324.87万元，下降2%。</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65324.22</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65324.22</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15.59</w:t>
      </w:r>
      <w:r>
        <w:rPr>
          <w:rFonts w:hint="eastAsia" w:ascii="仿宋_GB2312" w:eastAsia="仿宋_GB2312"/>
          <w:sz w:val="28"/>
          <w:szCs w:val="28"/>
        </w:rPr>
        <w:t>万元，占收入合计的</w:t>
      </w:r>
      <w:r>
        <w:rPr>
          <w:rFonts w:hint="eastAsia" w:ascii="仿宋_GB2312" w:eastAsia="仿宋_GB2312"/>
          <w:sz w:val="28"/>
          <w:szCs w:val="28"/>
          <w:lang w:eastAsia="zh-CN"/>
        </w:rPr>
        <w:t>0.02</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sz w:val="21"/>
        </w:rPr>
        <mc:AlternateContent>
          <mc:Choice Requires="wps">
            <w:drawing>
              <wp:anchor distT="0" distB="0" distL="114300" distR="114300" simplePos="0" relativeHeight="251658240" behindDoc="0" locked="0" layoutInCell="1" allowOverlap="1">
                <wp:simplePos x="0" y="0"/>
                <wp:positionH relativeFrom="column">
                  <wp:posOffset>3943350</wp:posOffset>
                </wp:positionH>
                <wp:positionV relativeFrom="paragraph">
                  <wp:posOffset>328295</wp:posOffset>
                </wp:positionV>
                <wp:extent cx="624205" cy="273685"/>
                <wp:effectExtent l="0" t="0" r="4445" b="12065"/>
                <wp:wrapNone/>
                <wp:docPr id="2" name="文本框 2"/>
                <wp:cNvGraphicFramePr/>
                <a:graphic xmlns:a="http://schemas.openxmlformats.org/drawingml/2006/main">
                  <a:graphicData uri="http://schemas.microsoft.com/office/word/2010/wordprocessingShape">
                    <wps:wsp>
                      <wps:cNvSpPr txBox="1"/>
                      <wps:spPr>
                        <a:xfrm>
                          <a:off x="8314690" y="2055495"/>
                          <a:ext cx="624205" cy="2736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0.02%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0.5pt;margin-top:25.85pt;height:21.55pt;width:49.15pt;z-index:251658240;mso-width-relative:page;mso-height-relative:page;" fillcolor="#FFFFFF [3201]" filled="t" stroked="f" coordsize="21600,21600" o:gfxdata="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bLg5z1QAAAAkBAAAPAAAAAAAAAAEAIAAAACIAAABkcnMv&#10;ZG93bnJldi54bWxQSwECFAAUAAAACACHTuJADAi6ej8CAABMBAAADgAAAAAAAAABACAAAAAkAQAA&#10;ZHJzL2Uyb0RvYy54bWxQSwUGAAAAAAYABgBZAQAA1QUAAAAA&#10;">
                <v:fill on="t" focussize="0,0"/>
                <v:stroke on="f" weight="0.5pt"/>
                <v:imagedata o:title=""/>
                <o:lock v:ext="edit" aspectratio="f"/>
                <v:textbox>
                  <w:txbxContent>
                    <w:p>
                      <w:pPr>
                        <w:rPr>
                          <w:rFonts w:hint="default" w:eastAsia="宋体"/>
                          <w:lang w:val="en-US" w:eastAsia="zh-CN"/>
                        </w:rPr>
                      </w:pPr>
                      <w:r>
                        <w:rPr>
                          <w:rFonts w:hint="eastAsia"/>
                          <w:lang w:val="en-US" w:eastAsia="zh-CN"/>
                        </w:rPr>
                        <w:t>0.02%</w:t>
                      </w:r>
                    </w:p>
                  </w:txbxContent>
                </v:textbox>
              </v:shape>
            </w:pict>
          </mc:Fallback>
        </mc:AlternateContent>
      </w: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67930.83</w:t>
      </w:r>
      <w:r>
        <w:rPr>
          <w:rFonts w:hint="eastAsia" w:ascii="仿宋_GB2312" w:eastAsia="仿宋_GB2312"/>
          <w:sz w:val="28"/>
          <w:szCs w:val="28"/>
        </w:rPr>
        <w:t>万元，比上年增加93.56万元，增长1.38%，其中：基本支出</w:t>
      </w:r>
      <w:r>
        <w:rPr>
          <w:rFonts w:ascii="仿宋_GB2312" w:eastAsia="仿宋_GB2312"/>
          <w:sz w:val="28"/>
          <w:szCs w:val="28"/>
        </w:rPr>
        <w:t>8593.56</w:t>
      </w:r>
      <w:r>
        <w:rPr>
          <w:rFonts w:hint="eastAsia" w:ascii="仿宋_GB2312" w:eastAsia="仿宋_GB2312"/>
          <w:sz w:val="28"/>
          <w:szCs w:val="28"/>
        </w:rPr>
        <w:t>万元，占支出合计的</w:t>
      </w:r>
      <w:r>
        <w:rPr>
          <w:rFonts w:hint="eastAsia" w:ascii="仿宋_GB2312" w:eastAsia="仿宋_GB2312"/>
          <w:sz w:val="28"/>
          <w:szCs w:val="28"/>
          <w:lang w:eastAsia="zh-CN"/>
        </w:rPr>
        <w:t>12.65</w:t>
      </w:r>
      <w:r>
        <w:rPr>
          <w:rFonts w:hint="eastAsia" w:ascii="仿宋_GB2312" w:eastAsia="仿宋_GB2312"/>
          <w:sz w:val="28"/>
          <w:szCs w:val="28"/>
        </w:rPr>
        <w:t>%；项目支出</w:t>
      </w:r>
      <w:r>
        <w:rPr>
          <w:rFonts w:ascii="仿宋_GB2312" w:eastAsia="仿宋_GB2312"/>
          <w:sz w:val="28"/>
          <w:szCs w:val="28"/>
        </w:rPr>
        <w:t>59337.27</w:t>
      </w:r>
      <w:r>
        <w:rPr>
          <w:rFonts w:hint="eastAsia" w:ascii="仿宋_GB2312" w:eastAsia="仿宋_GB2312"/>
          <w:sz w:val="28"/>
          <w:szCs w:val="28"/>
        </w:rPr>
        <w:t>万元，占支出合计的</w:t>
      </w:r>
      <w:r>
        <w:rPr>
          <w:rFonts w:hint="eastAsia" w:ascii="仿宋_GB2312" w:eastAsia="仿宋_GB2312"/>
          <w:sz w:val="28"/>
          <w:szCs w:val="28"/>
          <w:lang w:eastAsia="zh-CN"/>
        </w:rPr>
        <w:t>87.35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68543.67</w:t>
      </w:r>
      <w:r>
        <w:rPr>
          <w:rFonts w:hint="eastAsia" w:ascii="仿宋_GB2312" w:eastAsia="仿宋_GB2312"/>
          <w:sz w:val="28"/>
          <w:szCs w:val="28"/>
        </w:rPr>
        <w:t>万元，比上年减少1611.31万元，下降2.29%。主要原因：</w:t>
      </w:r>
      <w:bookmarkStart w:id="0" w:name="OLE_LINK1"/>
      <w:r>
        <w:rPr>
          <w:rFonts w:hint="eastAsia" w:ascii="仿宋_GB2312" w:eastAsia="仿宋_GB2312"/>
          <w:sz w:val="28"/>
          <w:szCs w:val="28"/>
        </w:rPr>
        <w:t>落实政府过紧日子的要求，压减和严控一般性支出</w:t>
      </w:r>
      <w:bookmarkEnd w:id="0"/>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67020.57</w:t>
      </w:r>
      <w:r>
        <w:rPr>
          <w:rFonts w:hint="eastAsia" w:ascii="仿宋_GB2312" w:eastAsia="仿宋_GB2312"/>
          <w:sz w:val="28"/>
          <w:szCs w:val="28"/>
        </w:rPr>
        <w:t>万元，主要用于以下方面（按大类）：教育支出147.25万元，占本年财政拨款支出0.22%；科学技术支出86.8万元，占本年财政拨款支出0.13%；社会保障和就业支出1096.64万元，占本年财政拨款支出1.64%；卫生健康支出595.77万元，占本年财政拨款支出0.89%；节能环保支出446.55万元，占本年财政拨款支出0.67%；农林水支出64647.56万元，占本年财政拨款支出96.46%。</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“教育支出”（类）2024年度决算147.25万元，比2024年度年初预算减少52.93万元，下降26.44%。其中：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“进修及培训”（款）2024年度决算147.25万元，比2024年度年初预算减少52.93万元，下降26.44%。主要原因：落实政府过紧日子的要求，厉行勤俭节约，压缩培训成本。</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“科学技术支出”(类)2024年度决算86.8万元，比2024年度年初预算减少36.11万元，下降29.38%。其中：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“技术研究与开发”(款)2024年度决算86.8万元，比2024年度年初预算减少36.11万元，下降29.38%。主要原因：</w:t>
      </w:r>
      <w:bookmarkStart w:id="1" w:name="OLE_LINK2"/>
      <w:r>
        <w:rPr>
          <w:rFonts w:hint="eastAsia" w:ascii="仿宋_GB2312" w:eastAsia="仿宋_GB2312"/>
          <w:sz w:val="28"/>
          <w:szCs w:val="28"/>
        </w:rPr>
        <w:t>落实政府过紧日子的要求，压减和严控一般性支出</w:t>
      </w:r>
      <w:bookmarkEnd w:id="1"/>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“社会保障和就业支出”（类）2024年度决算1096.64万元，比2024年度年初预算减少234.41万元，下降17.61%。其中：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“行政事业单位养老支出”（款）2024年度决算1096.64万元，比2024年度年初预算减少234.41万元，下降17.61%。主要原因：按照实际缴费情况缴纳职工基本养老保险和职业年金。</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“卫生健康支出”（类）2024年度决算595.77万元，比2024年度年初预算增加13.91万元，增长2.39%。其中：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“行政事业单位医疗”（款）2024年度决算595.77万元，比2024年度年初预算增加13.91万元，增长2.39%。主要原因：按照实际缴费情况缴纳职工医疗保险。</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“节能环保支出”（类）2024年度决算446.55万元，比2024年度年初预算减少1.45万元，下降0.32%。其中：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“污染防治”（款）2024年度决算446.55万元，比2024年度年初预算减少1.45万元，下降0.32%。</w:t>
      </w:r>
      <w:r>
        <w:rPr>
          <w:rFonts w:hint="eastAsia" w:ascii="仿宋_GB2312" w:eastAsia="仿宋_GB2312"/>
          <w:sz w:val="28"/>
          <w:szCs w:val="28"/>
          <w:lang w:eastAsia="zh-CN"/>
        </w:rPr>
        <w:t>项目工作任务全部完成，其余为采购净结余</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“农林水支出”（类）2024年度决算64647.56万元，比2024年度年初预算增加112.72万元，增长0.17%。其中：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“农业农村”（款）2024年度决算20721.37万元，比2024年度年初预算减少852.44万元，减少3.95%。主要原因：落实政府过紧日子的要求，压减和严控一般性支出。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“普惠金融发展支出”（款）2024年度决算43926.19万元，比2024年度年初预算增加965.16万元，增长2.25%。主要原因：</w:t>
      </w:r>
      <w:r>
        <w:rPr>
          <w:rFonts w:hint="eastAsia" w:ascii="仿宋_GB2312" w:eastAsia="仿宋_GB2312"/>
          <w:sz w:val="28"/>
          <w:szCs w:val="28"/>
          <w:lang w:eastAsia="zh-CN"/>
        </w:rPr>
        <w:t>中央财政追加下达</w:t>
      </w:r>
      <w:bookmarkStart w:id="2" w:name="_GoBack"/>
      <w:bookmarkEnd w:id="2"/>
      <w:r>
        <w:rPr>
          <w:rFonts w:hint="eastAsia" w:ascii="仿宋_GB2312" w:eastAsia="仿宋_GB2312"/>
          <w:sz w:val="28"/>
          <w:szCs w:val="28"/>
          <w:lang w:eastAsia="zh-CN"/>
        </w:rPr>
        <w:t>了政策性农业保险工作任务</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本单位无此项经费</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本单位无此项经费</w:t>
      </w:r>
    </w:p>
    <w:p>
      <w:pPr>
        <w:spacing w:line="580" w:lineRule="exact"/>
        <w:ind w:firstLine="560" w:firstLineChars="200"/>
        <w:rPr>
          <w:rFonts w:hint="eastAsia" w:ascii="黑体" w:eastAsia="黑体"/>
          <w:b/>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8593.45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32.34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148.14</w:t>
      </w:r>
      <w:r>
        <w:rPr>
          <w:rFonts w:hint="eastAsia" w:ascii="仿宋_GB2312" w:eastAsia="仿宋_GB2312"/>
          <w:sz w:val="28"/>
          <w:szCs w:val="28"/>
        </w:rPr>
        <w:t>万元减少</w:t>
      </w:r>
      <w:r>
        <w:rPr>
          <w:rFonts w:ascii="仿宋_GB2312" w:eastAsia="仿宋_GB2312"/>
          <w:sz w:val="28"/>
          <w:szCs w:val="28"/>
        </w:rPr>
        <w:t>115.8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24.39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123.54</w:t>
      </w:r>
      <w:r>
        <w:rPr>
          <w:rFonts w:hint="eastAsia" w:ascii="仿宋_GB2312" w:eastAsia="仿宋_GB2312"/>
          <w:sz w:val="28"/>
          <w:szCs w:val="28"/>
        </w:rPr>
        <w:t>万元减少</w:t>
      </w:r>
      <w:r>
        <w:rPr>
          <w:rFonts w:ascii="仿宋_GB2312" w:eastAsia="仿宋_GB2312"/>
          <w:sz w:val="28"/>
          <w:szCs w:val="28"/>
        </w:rPr>
        <w:t>99.15</w:t>
      </w:r>
      <w:r>
        <w:rPr>
          <w:rFonts w:hint="eastAsia" w:ascii="仿宋_GB2312" w:eastAsia="仿宋_GB2312"/>
          <w:sz w:val="28"/>
          <w:szCs w:val="28"/>
        </w:rPr>
        <w:t>万元。主要原因：落实政府过紧日子的要求，压减和严控</w:t>
      </w:r>
      <w:r>
        <w:rPr>
          <w:rFonts w:hint="eastAsia" w:ascii="仿宋_GB2312" w:eastAsia="仿宋_GB2312"/>
          <w:sz w:val="28"/>
          <w:szCs w:val="28"/>
          <w:lang w:eastAsia="zh-CN"/>
        </w:rPr>
        <w:t>三公经费</w:t>
      </w:r>
      <w:r>
        <w:rPr>
          <w:rFonts w:hint="eastAsia" w:ascii="仿宋_GB2312" w:eastAsia="仿宋_GB2312"/>
          <w:sz w:val="28"/>
          <w:szCs w:val="28"/>
        </w:rPr>
        <w:t>支出；202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年度因公出国（境）费用主要用于农业产业合作等方面，202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1</w:t>
      </w:r>
      <w:r>
        <w:rPr>
          <w:rFonts w:hint="eastAsia" w:ascii="仿宋_GB2312" w:eastAsia="仿宋_GB2312"/>
          <w:sz w:val="28"/>
          <w:szCs w:val="28"/>
        </w:rPr>
        <w:t>个、</w:t>
      </w:r>
      <w:r>
        <w:rPr>
          <w:rFonts w:hint="eastAsia" w:ascii="仿宋_GB2312" w:eastAsia="仿宋_GB2312"/>
          <w:sz w:val="28"/>
          <w:szCs w:val="28"/>
          <w:lang w:eastAsia="zh-CN"/>
        </w:rPr>
        <w:t>4</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w:t>
      </w:r>
      <w:r>
        <w:rPr>
          <w:rFonts w:hint="eastAsia" w:ascii="仿宋_GB2312" w:eastAsia="仿宋_GB2312"/>
          <w:sz w:val="28"/>
          <w:szCs w:val="28"/>
        </w:rPr>
        <w:t>万元增减</w:t>
      </w:r>
      <w:r>
        <w:rPr>
          <w:rFonts w:ascii="仿宋_GB2312" w:eastAsia="仿宋_GB2312"/>
          <w:sz w:val="28"/>
          <w:szCs w:val="28"/>
        </w:rPr>
        <w:t>3</w:t>
      </w:r>
      <w:r>
        <w:rPr>
          <w:rFonts w:hint="eastAsia" w:ascii="仿宋_GB2312" w:eastAsia="仿宋_GB2312"/>
          <w:sz w:val="28"/>
          <w:szCs w:val="28"/>
        </w:rPr>
        <w:t>万元。主要原因：落实政府过紧日子的要求，压减和严控</w:t>
      </w:r>
      <w:r>
        <w:rPr>
          <w:rFonts w:hint="eastAsia" w:ascii="仿宋_GB2312" w:eastAsia="仿宋_GB2312"/>
          <w:sz w:val="28"/>
          <w:szCs w:val="28"/>
          <w:lang w:eastAsia="zh-CN"/>
        </w:rPr>
        <w:t>三公经费</w:t>
      </w:r>
      <w:r>
        <w:rPr>
          <w:rFonts w:hint="eastAsia" w:ascii="仿宋_GB2312" w:eastAsia="仿宋_GB2312"/>
          <w:sz w:val="28"/>
          <w:szCs w:val="28"/>
        </w:rPr>
        <w:t>支出。2024年度无公务接待费。公务接待0批次，公务接待0人次。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7.95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21.6</w:t>
      </w:r>
      <w:r>
        <w:rPr>
          <w:rFonts w:hint="eastAsia" w:ascii="仿宋_GB2312" w:eastAsia="仿宋_GB2312"/>
          <w:sz w:val="28"/>
          <w:szCs w:val="28"/>
        </w:rPr>
        <w:t>万元减少</w:t>
      </w:r>
      <w:r>
        <w:rPr>
          <w:rFonts w:ascii="仿宋_GB2312" w:eastAsia="仿宋_GB2312"/>
          <w:sz w:val="28"/>
          <w:szCs w:val="28"/>
        </w:rPr>
        <w:t>13.65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万元，主要原因：无车辆更新购置计划，202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7.95</w:t>
      </w:r>
      <w:r>
        <w:rPr>
          <w:rFonts w:hint="eastAsia" w:ascii="仿宋_GB2312" w:eastAsia="仿宋_GB2312"/>
          <w:sz w:val="28"/>
          <w:szCs w:val="28"/>
        </w:rPr>
        <w:t>万元，主要原因：落实政府过紧日子的要求，压减和严控三公经费支出。202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9</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556.83</w:t>
      </w:r>
      <w:r>
        <w:rPr>
          <w:rFonts w:hint="eastAsia" w:ascii="仿宋_GB2312" w:eastAsia="仿宋_GB2312"/>
          <w:sz w:val="28"/>
          <w:szCs w:val="28"/>
        </w:rPr>
        <w:t>万元，比上年减少41.6万元，减少原因：落实政府过紧日子的要求，压减和严控一般性支出。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2341.6</w:t>
      </w:r>
      <w:r>
        <w:rPr>
          <w:rFonts w:hint="eastAsia" w:ascii="仿宋_GB2312" w:eastAsia="仿宋_GB2312"/>
          <w:sz w:val="28"/>
          <w:szCs w:val="28"/>
        </w:rPr>
        <w:t>万元，其中：政府采购货物支出</w:t>
      </w:r>
      <w:r>
        <w:rPr>
          <w:rFonts w:ascii="仿宋_GB2312" w:eastAsia="仿宋_GB2312"/>
          <w:sz w:val="28"/>
          <w:szCs w:val="28"/>
        </w:rPr>
        <w:t>6.93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2334.67</w:t>
      </w:r>
      <w:r>
        <w:rPr>
          <w:rFonts w:hint="eastAsia" w:ascii="仿宋_GB2312" w:eastAsia="仿宋_GB2312"/>
          <w:sz w:val="28"/>
          <w:szCs w:val="28"/>
        </w:rPr>
        <w:t>万元。授予中小企业合同金额</w:t>
      </w:r>
      <w:r>
        <w:rPr>
          <w:rFonts w:ascii="仿宋_GB2312" w:eastAsia="仿宋_GB2312"/>
          <w:sz w:val="28"/>
          <w:szCs w:val="28"/>
        </w:rPr>
        <w:t>1223.86</w:t>
      </w:r>
      <w:r>
        <w:rPr>
          <w:rFonts w:hint="eastAsia" w:ascii="仿宋_GB2312" w:eastAsia="仿宋_GB2312"/>
          <w:sz w:val="28"/>
          <w:szCs w:val="28"/>
        </w:rPr>
        <w:t>万元，占政府采购支出总额的</w:t>
      </w:r>
      <w:r>
        <w:rPr>
          <w:rFonts w:hint="eastAsia" w:ascii="仿宋_GB2312" w:eastAsia="仿宋_GB2312"/>
          <w:sz w:val="28"/>
          <w:szCs w:val="28"/>
          <w:lang w:eastAsia="zh-CN"/>
        </w:rPr>
        <w:t>52.27</w:t>
      </w:r>
      <w:r>
        <w:rPr>
          <w:rFonts w:hint="eastAsia" w:ascii="仿宋_GB2312" w:eastAsia="仿宋_GB2312"/>
          <w:sz w:val="28"/>
          <w:szCs w:val="28"/>
        </w:rPr>
        <w:t>%，其中：授予小微企业合同金额</w:t>
      </w:r>
      <w:r>
        <w:rPr>
          <w:rFonts w:ascii="仿宋_GB2312" w:eastAsia="仿宋_GB2312"/>
          <w:sz w:val="28"/>
          <w:szCs w:val="28"/>
        </w:rPr>
        <w:t>983.24</w:t>
      </w:r>
      <w:r>
        <w:rPr>
          <w:rFonts w:hint="eastAsia" w:ascii="仿宋_GB2312" w:eastAsia="仿宋_GB2312"/>
          <w:sz w:val="28"/>
          <w:szCs w:val="28"/>
        </w:rPr>
        <w:t>万元，占政府采购支出总额的</w:t>
      </w:r>
      <w:r>
        <w:rPr>
          <w:rFonts w:ascii="仿宋_GB2312" w:eastAsia="仿宋_GB2312"/>
          <w:sz w:val="28"/>
          <w:szCs w:val="28"/>
        </w:rPr>
        <w:t>41.99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12月31日，北京市农业农村局（本级）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政府购买服务决算4353.92</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lang w:eastAsia="zh-CN"/>
        </w:rPr>
        <w:t>支出功能分类项级科目名词解释：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default" w:ascii="仿宋_GB2312" w:hAnsi="宋体" w:eastAsia="仿宋_GB2312"/>
          <w:sz w:val="28"/>
          <w:szCs w:val="28"/>
          <w:lang w:val="en" w:eastAsia="zh-CN"/>
        </w:rPr>
        <w:t>社会保障和就业支出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行政事业单位养老支出（款）行政单位离退休</w:t>
      </w:r>
      <w:r>
        <w:rPr>
          <w:rFonts w:hint="eastAsia" w:ascii="仿宋_GB2312" w:hAnsi="宋体" w:eastAsia="仿宋_GB2312"/>
          <w:sz w:val="28"/>
          <w:szCs w:val="28"/>
          <w:lang w:val="en" w:eastAsia="zh-CN"/>
        </w:rPr>
        <w:t>（项）</w:t>
      </w:r>
      <w:r>
        <w:rPr>
          <w:rFonts w:hint="eastAsia" w:ascii="仿宋_GB2312" w:hAnsi="宋体" w:eastAsia="仿宋_GB2312"/>
          <w:sz w:val="28"/>
          <w:szCs w:val="28"/>
          <w:lang w:val="en-US" w:eastAsia="zh-CN"/>
        </w:rPr>
        <w:t>：反映行政单位（包括实行公务员管理的事业单位）开支的离退休经费。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default" w:ascii="仿宋_GB2312" w:hAnsi="宋体" w:eastAsia="仿宋_GB2312"/>
          <w:sz w:val="28"/>
          <w:szCs w:val="28"/>
          <w:lang w:val="en" w:eastAsia="zh-CN"/>
        </w:rPr>
        <w:t>社会保障和就业支出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行政事业单位养老支出（款）机关事业单位基本养老保险缴费支出</w:t>
      </w:r>
      <w:r>
        <w:rPr>
          <w:rFonts w:hint="eastAsia" w:ascii="仿宋_GB2312" w:hAnsi="宋体" w:eastAsia="仿宋_GB2312"/>
          <w:sz w:val="28"/>
          <w:szCs w:val="28"/>
          <w:lang w:val="en" w:eastAsia="zh-CN"/>
        </w:rPr>
        <w:t>（项）</w:t>
      </w:r>
      <w:r>
        <w:rPr>
          <w:rFonts w:hint="eastAsia" w:ascii="仿宋_GB2312" w:hAnsi="宋体" w:eastAsia="仿宋_GB2312"/>
          <w:sz w:val="28"/>
          <w:szCs w:val="28"/>
          <w:lang w:val="en-US" w:eastAsia="zh-CN"/>
        </w:rPr>
        <w:t>：反映机关事业单位实施养老保险制度由单位缴纳的基本养老保险费支出。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 w:eastAsia="zh-CN"/>
        </w:rPr>
      </w:pPr>
      <w:r>
        <w:rPr>
          <w:rFonts w:hint="default" w:ascii="仿宋_GB2312" w:hAnsi="宋体" w:eastAsia="仿宋_GB2312"/>
          <w:sz w:val="28"/>
          <w:szCs w:val="28"/>
          <w:lang w:val="en" w:eastAsia="zh-CN"/>
        </w:rPr>
        <w:t>社会保障和就业支出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行政事业单位养老支出（款）机关事业单位职业年金缴费支出</w:t>
      </w:r>
      <w:r>
        <w:rPr>
          <w:rFonts w:hint="eastAsia" w:ascii="仿宋_GB2312" w:hAnsi="宋体" w:eastAsia="仿宋_GB2312"/>
          <w:sz w:val="28"/>
          <w:szCs w:val="28"/>
          <w:lang w:val="en" w:eastAsia="zh-CN"/>
        </w:rPr>
        <w:t>（项）</w:t>
      </w:r>
      <w:r>
        <w:rPr>
          <w:rFonts w:hint="eastAsia" w:ascii="仿宋_GB2312" w:hAnsi="宋体" w:eastAsia="仿宋_GB2312"/>
          <w:sz w:val="28"/>
          <w:szCs w:val="28"/>
          <w:lang w:val="en-US" w:eastAsia="zh-CN"/>
        </w:rPr>
        <w:t>：</w:t>
      </w:r>
      <w:r>
        <w:rPr>
          <w:rFonts w:hint="eastAsia" w:ascii="仿宋_GB2312" w:hAnsi="宋体" w:eastAsia="仿宋_GB2312"/>
          <w:sz w:val="28"/>
          <w:szCs w:val="28"/>
          <w:lang w:val="en" w:eastAsia="zh-CN"/>
        </w:rPr>
        <w:t>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_GB2312" w:hAnsi="宋体" w:eastAsia="仿宋_GB2312"/>
          <w:sz w:val="28"/>
          <w:szCs w:val="28"/>
          <w:lang w:val="en-US" w:eastAsia="zh-CN"/>
        </w:rPr>
      </w:pPr>
      <w:r>
        <w:rPr>
          <w:rFonts w:hint="default" w:ascii="仿宋_GB2312" w:hAnsi="宋体" w:eastAsia="仿宋_GB2312"/>
          <w:sz w:val="28"/>
          <w:szCs w:val="28"/>
          <w:lang w:val="en" w:eastAsia="zh-CN"/>
        </w:rPr>
        <w:t>社会保障和就业支出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抚恤（款）死亡抚恤</w:t>
      </w:r>
      <w:r>
        <w:rPr>
          <w:rFonts w:hint="eastAsia" w:ascii="仿宋_GB2312" w:hAnsi="宋体" w:eastAsia="仿宋_GB2312"/>
          <w:sz w:val="28"/>
          <w:szCs w:val="28"/>
          <w:lang w:val="en" w:eastAsia="zh-CN"/>
        </w:rPr>
        <w:t>（项）：反映按规定用于烈士和牺牲、病故人员家属的一次性和定期抚恤金、丧葬补助费以及烈士褒扬金。</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default" w:ascii="仿宋_GB2312" w:hAnsi="宋体" w:eastAsia="仿宋_GB2312"/>
          <w:sz w:val="28"/>
          <w:szCs w:val="28"/>
          <w:lang w:val="en-US" w:eastAsia="zh-CN"/>
        </w:rPr>
        <w:t>卫生健康支出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行政事业单位医疗（款）行政单位医疗</w:t>
      </w:r>
      <w:r>
        <w:rPr>
          <w:rFonts w:hint="eastAsia" w:ascii="仿宋_GB2312" w:hAnsi="宋体" w:eastAsia="仿宋_GB2312"/>
          <w:sz w:val="28"/>
          <w:szCs w:val="28"/>
          <w:lang w:val="en" w:eastAsia="zh-CN"/>
        </w:rPr>
        <w:t>（项）</w:t>
      </w:r>
      <w:r>
        <w:rPr>
          <w:rFonts w:hint="eastAsia" w:ascii="仿宋_GB2312" w:hAnsi="宋体" w:eastAsia="仿宋_GB2312"/>
          <w:sz w:val="28"/>
          <w:szCs w:val="28"/>
          <w:lang w:val="en-US" w:eastAsia="zh-CN"/>
        </w:rPr>
        <w:t>：反映财政部门安排的行政单位（包括实行公务员管理的事业单位）基本医疗保险缴费经费，未参加医疗保险的行政单位的公费医疗经费，按国家规定享受离休人员、红军老战士待遇人员的医疗经费。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农林水支出（类）农业农村（款）行政运行（项）：反映行政单位（包括实行公务员管理的事业单位）的基本支出。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教育支出（类）进修及培训（款）培训支出（项）：反映各部门安排的用于培训的支出。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科学技术支出（类）技术研究与开发（款）其他技术研究与开发支出（项）：反映除上述项目以外，其他用于技术研究与开发方面的支出。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节能环保支出（类）污染防治（款）大气（项）：反映政府在治理空气污染、汽车尾气、酸雨、二氧化硫、沙尘暴等方面的支出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农林水支出（类）农业农村（款）行政运行（项）：反映行政单位（包括实行公务员管理的事业单位）的基本支出。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农林水支出（类）农业农村（款）一般行政管理事务（项）：反映行政单位（包括实行公务员管理的事业单位）未单独设置项级科目的其他项目支出。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农林水支出（类）农业农村（款）科技转化与推广服务（项）：反映用于农业科技成果转化，农业科技人才奖励，农业新品种、新机具、新技术引进、试验、示范、推广及服务，农村人居环境整治等方面的技术试验示范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农林水支出（类）农业农村（款）农产品质量安全（项）：反映用于农产品及其投人品的质量安全评估、监测、抽查、认证、应急处置，相关标准的制定、修订、实施、监管等方面的支出。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农林水支出（类）农业农村（款）统计监测与信息服务（项）：反映用于农业农村统计调查与信息收集、整理、分析、发布，以及农业自然资源调查与农业区划等方面的支出。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农林水支出（类）农业农村（款）行业业务管理（项）：反映用于农业农村政策研究、规划编制、评审评估、绩效评价、监督检查等基本业务管理工作的支出。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农林水支出（类）农业农村（款）对外交流与合作（项）：反映对外农业交流合作活动，领导人出访后续项日，招待来访、参观以及来华参加各项国际活动的外国代表团、对外联络等方面的支出。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农林水支出（类）农业农村（款）农业生产发展（项）：反映用于耕地地力保护、适度规模经营、农机购置与应用补贴、优势特色主导产业发展、畜牧水产发展、农村一二三产业融合等方面支出。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农林水支出（类）农业农村（款）农村合作经济（项）：反映用于农村集体经济组织、农民合作经济组织、新型农业经营主体和农业社会化服务体系建设，以及土地承包管理、宅基地管理等方面的支出.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农林水支出（类）农业农村（款）农产品加工与促销（项）：反映用于促进农产品加工、储藏、运输、国内外大型农产品展示、交易、产销衔接、开拓国内外农产品市场及农业产业化发展等方面的支出。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农林水支出（类）农业农村（款）农村社会事业（项）：反映用于农村社会事业发展的支出。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农业农村（款）农业资源保护修复与利用（项）：反映用于耕地质量保护、草原草场利用，渔业水域资源环境保护，农业品种改良提升，以及农业生物资源调研收集、鉴定评价、保存利用等方面的支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ab/>
      </w:r>
      <w:r>
        <w:rPr>
          <w:rFonts w:hint="eastAsia" w:ascii="仿宋_GB2312" w:hAnsi="宋体" w:eastAsia="仿宋_GB2312"/>
          <w:sz w:val="28"/>
          <w:szCs w:val="28"/>
          <w:lang w:val="en-US" w:eastAsia="zh-CN"/>
        </w:rPr>
        <w:t>农林水支出（类）普惠金融</w:t>
      </w:r>
      <w:r>
        <w:rPr>
          <w:rFonts w:hint="default" w:ascii="仿宋_GB2312" w:hAnsi="宋体" w:eastAsia="仿宋_GB2312"/>
          <w:sz w:val="28"/>
          <w:szCs w:val="28"/>
          <w:lang w:val="en-US" w:eastAsia="zh-CN"/>
        </w:rPr>
        <w:t>发展支出</w:t>
      </w:r>
      <w:r>
        <w:rPr>
          <w:rFonts w:hint="eastAsia" w:ascii="仿宋_GB2312" w:hAnsi="宋体" w:eastAsia="仿宋_GB2312"/>
          <w:sz w:val="28"/>
          <w:szCs w:val="28"/>
          <w:lang w:val="en-US" w:eastAsia="zh-CN"/>
        </w:rPr>
        <w:t>（款）农业保险保费</w:t>
      </w:r>
      <w:r>
        <w:rPr>
          <w:rFonts w:hint="default" w:ascii="仿宋_GB2312" w:hAnsi="宋体" w:eastAsia="仿宋_GB2312"/>
          <w:sz w:val="28"/>
          <w:szCs w:val="28"/>
          <w:lang w:val="en-US" w:eastAsia="zh-CN"/>
        </w:rPr>
        <w:t>补贴</w:t>
      </w:r>
      <w:r>
        <w:rPr>
          <w:rFonts w:hint="eastAsia" w:ascii="仿宋_GB2312" w:hAnsi="宋体" w:eastAsia="仿宋_GB2312"/>
          <w:sz w:val="28"/>
          <w:szCs w:val="28"/>
          <w:lang w:val="en-US" w:eastAsia="zh-CN"/>
        </w:rPr>
        <w:t>（项）：反映对于农民</w:t>
      </w:r>
      <w:r>
        <w:rPr>
          <w:rFonts w:hint="default" w:ascii="仿宋_GB2312" w:hAnsi="宋体" w:eastAsia="仿宋_GB2312"/>
          <w:sz w:val="28"/>
          <w:szCs w:val="28"/>
          <w:lang w:val="en-US" w:eastAsia="zh-CN"/>
        </w:rPr>
        <w:t>或农业生产经营组织</w:t>
      </w:r>
      <w:r>
        <w:rPr>
          <w:rFonts w:hint="eastAsia" w:ascii="仿宋_GB2312" w:hAnsi="宋体" w:eastAsia="仿宋_GB2312"/>
          <w:sz w:val="28"/>
          <w:szCs w:val="28"/>
          <w:lang w:val="en-US" w:eastAsia="zh-CN"/>
        </w:rPr>
        <w:t>投保</w:t>
      </w:r>
      <w:r>
        <w:rPr>
          <w:rFonts w:hint="default" w:ascii="仿宋_GB2312" w:hAnsi="宋体" w:eastAsia="仿宋_GB2312"/>
          <w:sz w:val="28"/>
          <w:szCs w:val="28"/>
          <w:lang w:val="en-US" w:eastAsia="zh-CN"/>
        </w:rPr>
        <w:t>农业保险给予的补贴</w:t>
      </w:r>
      <w:r>
        <w:rPr>
          <w:rFonts w:hint="eastAsia" w:ascii="仿宋_GB2312" w:hAnsi="宋体" w:eastAsia="仿宋_GB2312"/>
          <w:sz w:val="28"/>
          <w:szCs w:val="28"/>
          <w:lang w:val="en-US" w:eastAsia="zh-CN"/>
        </w:rPr>
        <w:t>。</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0442"/>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6B76"/>
    <w:rsid w:val="02F120AB"/>
    <w:rsid w:val="032B5196"/>
    <w:rsid w:val="04C3537C"/>
    <w:rsid w:val="079004AC"/>
    <w:rsid w:val="0B3042F4"/>
    <w:rsid w:val="0BA148CA"/>
    <w:rsid w:val="0C1165C4"/>
    <w:rsid w:val="0C9D7C2D"/>
    <w:rsid w:val="0D6D544B"/>
    <w:rsid w:val="0DD136FE"/>
    <w:rsid w:val="0F8E2C57"/>
    <w:rsid w:val="1059665E"/>
    <w:rsid w:val="10AC13BA"/>
    <w:rsid w:val="145A6C1B"/>
    <w:rsid w:val="14B73493"/>
    <w:rsid w:val="167A2FF9"/>
    <w:rsid w:val="18581C69"/>
    <w:rsid w:val="1A866708"/>
    <w:rsid w:val="1AEC0734"/>
    <w:rsid w:val="1DEF20B0"/>
    <w:rsid w:val="214243FA"/>
    <w:rsid w:val="21AD613C"/>
    <w:rsid w:val="22467189"/>
    <w:rsid w:val="257A14F5"/>
    <w:rsid w:val="25F24A84"/>
    <w:rsid w:val="27196C26"/>
    <w:rsid w:val="29EF086F"/>
    <w:rsid w:val="2AF67027"/>
    <w:rsid w:val="2D255A6E"/>
    <w:rsid w:val="2EFFE297"/>
    <w:rsid w:val="301437CA"/>
    <w:rsid w:val="32FD03E8"/>
    <w:rsid w:val="349D1F0A"/>
    <w:rsid w:val="34DD0473"/>
    <w:rsid w:val="35805F4A"/>
    <w:rsid w:val="37763AE8"/>
    <w:rsid w:val="37D46E19"/>
    <w:rsid w:val="38F60882"/>
    <w:rsid w:val="3C684897"/>
    <w:rsid w:val="433E495C"/>
    <w:rsid w:val="489F2FD7"/>
    <w:rsid w:val="4AC27CB3"/>
    <w:rsid w:val="4BF72BEF"/>
    <w:rsid w:val="4FA90297"/>
    <w:rsid w:val="4FC41A43"/>
    <w:rsid w:val="51DB3C59"/>
    <w:rsid w:val="53597AEF"/>
    <w:rsid w:val="550C0952"/>
    <w:rsid w:val="55762E42"/>
    <w:rsid w:val="57A7B272"/>
    <w:rsid w:val="58470068"/>
    <w:rsid w:val="58747CAC"/>
    <w:rsid w:val="5A1720F9"/>
    <w:rsid w:val="5B9C37C2"/>
    <w:rsid w:val="5BA7C654"/>
    <w:rsid w:val="5C760DA6"/>
    <w:rsid w:val="5D305694"/>
    <w:rsid w:val="606622BF"/>
    <w:rsid w:val="60A54109"/>
    <w:rsid w:val="60A95D37"/>
    <w:rsid w:val="61D01CDF"/>
    <w:rsid w:val="64C0607C"/>
    <w:rsid w:val="65756C86"/>
    <w:rsid w:val="672D0B7D"/>
    <w:rsid w:val="674D385B"/>
    <w:rsid w:val="676F09E1"/>
    <w:rsid w:val="682A4B2C"/>
    <w:rsid w:val="71793A80"/>
    <w:rsid w:val="7357290B"/>
    <w:rsid w:val="76926879"/>
    <w:rsid w:val="769938CA"/>
    <w:rsid w:val="798524E4"/>
    <w:rsid w:val="79FE759B"/>
    <w:rsid w:val="7A7F1C49"/>
    <w:rsid w:val="7B5B7AE6"/>
    <w:rsid w:val="7B7B6628"/>
    <w:rsid w:val="7BA7071E"/>
    <w:rsid w:val="7BDF6DA8"/>
    <w:rsid w:val="7C7EDC1A"/>
    <w:rsid w:val="7CB37791"/>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manualLayout>
          <c:xMode val="edge"/>
          <c:yMode val="edge"/>
          <c:x val="0.41348120182476"/>
          <c:y val="0.0190891737114808"/>
        </c:manualLayout>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dLbl>
              <c:idx val="1"/>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formatCode="General">
                  <c:v>65324.22</c:v>
                </c:pt>
                <c:pt idx="1" c:formatCode="General">
                  <c:v>15.59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formatCode="General">
                  <c:v>8593.56</c:v>
                </c:pt>
                <c:pt idx="1" c:formatCode="General">
                  <c:v>59337.27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0</TotalTime>
  <ScaleCrop>false</ScaleCrop>
  <LinksUpToDate>false</LinksUpToDate>
  <CharactersWithSpaces>5802</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lenovo</cp:lastModifiedBy>
  <cp:lastPrinted>2020-08-07T11:39:00Z</cp:lastPrinted>
  <dcterms:modified xsi:type="dcterms:W3CDTF">2025-09-05T03:05:12Z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