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北京市动物疫病预防控制中心</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pStyle w:val="2"/>
        <w:rPr>
          <w:rFonts w:hint="eastAsia"/>
        </w:rPr>
      </w:pP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autoSpaceDE w:val="0"/>
        <w:autoSpaceDN w:val="0"/>
        <w:adjustRightInd w:val="0"/>
        <w:spacing w:line="560" w:lineRule="exact"/>
        <w:ind w:firstLine="640" w:firstLineChars="200"/>
        <w:jc w:val="left"/>
        <w:rPr>
          <w:rFonts w:hint="default" w:ascii="仿宋_GB2312" w:hAnsi="仿宋_GB2312" w:eastAsia="仿宋_GB2312" w:cs="仿宋_GB2312"/>
          <w:color w:val="000000"/>
          <w:kern w:val="0"/>
          <w:sz w:val="32"/>
          <w:szCs w:val="32"/>
          <w:u w:val="none"/>
          <w:lang w:val="en-US"/>
        </w:rPr>
      </w:pPr>
      <w:r>
        <w:rPr>
          <w:rFonts w:hint="eastAsia" w:ascii="仿宋_GB2312" w:hAnsi="仿宋_GB2312" w:eastAsia="仿宋_GB2312" w:cs="仿宋_GB2312"/>
          <w:color w:val="000000"/>
          <w:kern w:val="0"/>
          <w:sz w:val="32"/>
          <w:szCs w:val="32"/>
          <w:u w:val="none"/>
          <w:lang w:val="zh-CN" w:eastAsia="zh-CN"/>
        </w:rPr>
        <w:t>十四、单位整体绩效目标表</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360" w:lineRule="auto"/>
        <w:rPr>
          <w:rFonts w:hint="eastAsia" w:ascii="仿宋_GB2312" w:eastAsia="仿宋_GB2312"/>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ind w:left="105" w:leftChars="50"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ind w:left="105" w:leftChars="50" w:firstLine="640" w:firstLineChars="200"/>
        <w:rPr>
          <w:rFonts w:hint="eastAsia" w:ascii="仿宋_GB2312" w:eastAsia="仿宋_GB2312"/>
          <w:sz w:val="32"/>
          <w:szCs w:val="32"/>
        </w:rPr>
      </w:pPr>
      <w:r>
        <w:rPr>
          <w:rFonts w:hint="eastAsia" w:ascii="仿宋_GB2312" w:eastAsia="仿宋_GB2312" w:cs="Segoe UI"/>
          <w:color w:val="242931"/>
          <w:sz w:val="32"/>
          <w:szCs w:val="32"/>
          <w:shd w:val="clear" w:color="auto" w:fill="FFFFFF"/>
        </w:rPr>
        <w:t>本单位为北京市农业农村局所属公益一类全额拨款事业单位。</w:t>
      </w:r>
      <w:r>
        <w:rPr>
          <w:rFonts w:hint="eastAsia" w:ascii="仿宋_GB2312" w:eastAsia="仿宋_GB2312"/>
          <w:sz w:val="32"/>
          <w:szCs w:val="32"/>
        </w:rPr>
        <w:t>单位主要职责：</w:t>
      </w:r>
      <w:r>
        <w:rPr>
          <w:rFonts w:hint="eastAsia" w:ascii="仿宋_GB2312" w:hAnsi="仿宋" w:eastAsia="仿宋_GB2312"/>
          <w:color w:val="000000"/>
          <w:sz w:val="32"/>
          <w:szCs w:val="32"/>
        </w:rPr>
        <w:t>承担本市动物疫病预防、控制</w:t>
      </w:r>
      <w:r>
        <w:rPr>
          <w:rFonts w:hint="eastAsia" w:ascii="仿宋_GB2312" w:hAnsi="仿宋" w:eastAsia="仿宋_GB2312"/>
          <w:color w:val="000000"/>
          <w:sz w:val="32"/>
          <w:szCs w:val="32"/>
          <w:lang w:eastAsia="zh-CN"/>
        </w:rPr>
        <w:t>、净化、消</w:t>
      </w:r>
      <w:r>
        <w:rPr>
          <w:rFonts w:hint="eastAsia" w:ascii="仿宋_GB2312" w:hAnsi="仿宋" w:eastAsia="仿宋_GB2312"/>
          <w:color w:val="000000"/>
          <w:sz w:val="32"/>
          <w:szCs w:val="32"/>
        </w:rPr>
        <w:t>灭等技术工作</w:t>
      </w:r>
      <w:r>
        <w:rPr>
          <w:rFonts w:hint="eastAsia" w:ascii="仿宋_GB2312" w:hAnsi="仿宋" w:eastAsia="仿宋_GB2312"/>
          <w:color w:val="000000"/>
          <w:sz w:val="32"/>
          <w:szCs w:val="32"/>
          <w:lang w:eastAsia="zh-CN"/>
        </w:rPr>
        <w:t>以及相关技术推广工作</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eastAsia="zh-CN"/>
        </w:rPr>
        <w:t>指导各区相关业务工作；承担兽医医政、兽药药政、动物防疫、畜禽屠宰管理的技术性、辅助性、事务性工作；承办机关交办的其他事项。</w:t>
      </w:r>
    </w:p>
    <w:p>
      <w:pPr>
        <w:spacing w:line="560" w:lineRule="exact"/>
        <w:ind w:firstLine="0" w:firstLineChars="0"/>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32"/>
          <w:szCs w:val="32"/>
          <w:u w:val="none"/>
        </w:rPr>
        <w:t>（二）机构设置情况</w:t>
      </w:r>
    </w:p>
    <w:p>
      <w:pPr>
        <w:spacing w:line="560" w:lineRule="exact"/>
        <w:ind w:firstLine="0" w:firstLineChars="0"/>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仿宋_GB2312" w:eastAsia="仿宋_GB2312"/>
          <w:color w:val="000000"/>
          <w:sz w:val="32"/>
          <w:szCs w:val="32"/>
        </w:rPr>
        <w:t>本单位</w:t>
      </w:r>
      <w:r>
        <w:rPr>
          <w:rFonts w:hint="eastAsia" w:ascii="仿宋_GB2312" w:eastAsia="仿宋_GB2312" w:cs="Segoe UI"/>
          <w:color w:val="242931"/>
          <w:sz w:val="32"/>
          <w:szCs w:val="32"/>
          <w:shd w:val="clear" w:color="auto" w:fill="FFFFFF"/>
        </w:rPr>
        <w:t>内设15个科室，分别是防控科、畜病防治室、禽病防治室、伴侣动物疫病防治室、监测预警科、实验室管理科、血清学检测室、病原学检测室、畜禽屠宰行业指导科、动物诊疗行业指导科、科技科、办公室（党办）、人事科、防疫物资科、后勤保障科。</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240" w:lineRule="auto"/>
        <w:ind w:firstLine="640" w:firstLineChars="200"/>
        <w:rPr>
          <w:rFonts w:hint="eastAsia" w:ascii="仿宋_GB2312" w:eastAsia="仿宋_GB2312"/>
          <w:color w:val="000000"/>
          <w:sz w:val="32"/>
          <w:szCs w:val="32"/>
          <w:u w:val="none"/>
        </w:rPr>
      </w:pPr>
      <w:r>
        <w:rPr>
          <w:rFonts w:hint="eastAsia" w:ascii="仿宋_GB2312" w:eastAsia="仿宋_GB2312" w:cs="Segoe UI"/>
          <w:color w:val="242931"/>
          <w:sz w:val="32"/>
          <w:szCs w:val="32"/>
          <w:shd w:val="clear" w:color="auto" w:fill="FFFFFF"/>
        </w:rPr>
        <w:t>北京市动物疫病预防控制中心</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人；事业编制</w:t>
      </w:r>
      <w:r>
        <w:rPr>
          <w:rFonts w:hint="eastAsia" w:ascii="仿宋_GB2312" w:eastAsia="仿宋_GB2312"/>
          <w:color w:val="000000"/>
          <w:sz w:val="32"/>
          <w:szCs w:val="32"/>
          <w:u w:val="none"/>
          <w:lang w:eastAsia="zh-CN"/>
        </w:rPr>
        <w:t>8</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7</w:t>
      </w:r>
      <w:r>
        <w:rPr>
          <w:rFonts w:hint="eastAsia" w:ascii="仿宋_GB2312" w:eastAsia="仿宋_GB2312"/>
          <w:color w:val="000000"/>
          <w:sz w:val="32"/>
          <w:szCs w:val="32"/>
          <w:u w:val="none"/>
          <w:lang w:val="en-US" w:eastAsia="zh-CN"/>
        </w:rPr>
        <w:t>5</w:t>
      </w:r>
      <w:r>
        <w:rPr>
          <w:rFonts w:hint="eastAsia" w:ascii="仿宋_GB2312" w:eastAsia="仿宋_GB2312"/>
          <w:color w:val="000000"/>
          <w:sz w:val="32"/>
          <w:szCs w:val="32"/>
          <w:u w:val="none"/>
        </w:rPr>
        <w:t>人；</w:t>
      </w:r>
      <w:r>
        <w:rPr>
          <w:rFonts w:hint="eastAsia" w:ascii="仿宋_GB2312" w:eastAsia="仿宋_GB2312"/>
          <w:sz w:val="32"/>
          <w:szCs w:val="32"/>
        </w:rPr>
        <w:t>离退休人员</w:t>
      </w:r>
      <w:r>
        <w:rPr>
          <w:rFonts w:hint="eastAsia" w:ascii="仿宋_GB2312" w:eastAsia="仿宋_GB2312"/>
          <w:sz w:val="32"/>
          <w:szCs w:val="32"/>
          <w:lang w:val="en-US" w:eastAsia="zh-CN"/>
        </w:rPr>
        <w:t>64</w:t>
      </w:r>
      <w:r>
        <w:rPr>
          <w:rFonts w:hint="eastAsia" w:ascii="仿宋_GB2312" w:eastAsia="仿宋_GB2312"/>
          <w:sz w:val="32"/>
          <w:szCs w:val="32"/>
        </w:rPr>
        <w:t>人，其中：离休0人，退休</w:t>
      </w:r>
      <w:r>
        <w:rPr>
          <w:rFonts w:hint="eastAsia" w:ascii="仿宋_GB2312" w:eastAsia="仿宋_GB2312"/>
          <w:sz w:val="32"/>
          <w:szCs w:val="32"/>
          <w:lang w:val="en-US" w:eastAsia="zh-CN"/>
        </w:rPr>
        <w:t>64</w:t>
      </w:r>
      <w:r>
        <w:rPr>
          <w:rFonts w:hint="eastAsia" w:ascii="仿宋_GB2312" w:eastAsia="仿宋_GB2312"/>
          <w:sz w:val="32"/>
          <w:szCs w:val="32"/>
        </w:rPr>
        <w:t>人</w:t>
      </w:r>
      <w:r>
        <w:rPr>
          <w:rFonts w:hint="eastAsia" w:ascii="仿宋_GB2312" w:eastAsia="仿宋_GB2312"/>
          <w:color w:val="000000"/>
          <w:sz w:val="32"/>
          <w:szCs w:val="32"/>
        </w:rPr>
        <w:t>。</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lang w:eastAsia="zh-CN"/>
        </w:rPr>
        <w:t>5</w:t>
      </w:r>
      <w:r>
        <w:rPr>
          <w:rFonts w:hint="eastAsia" w:ascii="仿宋_GB2312" w:eastAsia="仿宋_GB2312" w:cs="Droid Sans"/>
          <w:color w:val="auto"/>
          <w:sz w:val="32"/>
          <w:szCs w:val="32"/>
          <w:u w:val="none"/>
          <w:lang w:val="en-US" w:eastAsia="zh-CN"/>
        </w:rPr>
        <w:t>354.61</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2024年年初预算数4</w:t>
      </w:r>
      <w:r>
        <w:rPr>
          <w:rFonts w:hint="eastAsia" w:ascii="仿宋_GB2312" w:eastAsia="仿宋_GB2312"/>
          <w:color w:val="auto"/>
          <w:sz w:val="32"/>
          <w:szCs w:val="32"/>
          <w:u w:val="none"/>
          <w:lang w:val="en-US" w:eastAsia="zh-CN"/>
        </w:rPr>
        <w:t>952.81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01.80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主要原因是增加了农业科技工作的任务；消化上年结转结余。</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本年财政拨款收入5</w:t>
      </w:r>
      <w:r>
        <w:rPr>
          <w:rFonts w:hint="eastAsia" w:ascii="楷体_GB2312" w:eastAsia="楷体_GB2312"/>
          <w:color w:val="auto"/>
          <w:sz w:val="32"/>
          <w:szCs w:val="32"/>
          <w:u w:val="none"/>
          <w:lang w:val="en-US" w:eastAsia="zh-CN"/>
        </w:rPr>
        <w:t>187.48</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一般公共预算拨款收入5</w:t>
      </w:r>
      <w:r>
        <w:rPr>
          <w:rFonts w:hint="eastAsia" w:ascii="仿宋_GB2312" w:eastAsia="仿宋_GB2312" w:cs="Droid Sans"/>
          <w:color w:val="auto"/>
          <w:sz w:val="32"/>
          <w:szCs w:val="32"/>
          <w:u w:val="none"/>
          <w:lang w:val="en-US" w:eastAsia="zh-CN"/>
        </w:rPr>
        <w:t>187.48</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收入6</w:t>
      </w:r>
      <w:r>
        <w:rPr>
          <w:rFonts w:hint="eastAsia" w:ascii="楷体_GB2312" w:eastAsia="楷体_GB2312" w:cs="Droid Sans"/>
          <w:color w:val="auto"/>
          <w:sz w:val="32"/>
          <w:szCs w:val="32"/>
          <w:u w:val="none"/>
          <w:lang w:val="en-US" w:eastAsia="zh-CN"/>
        </w:rPr>
        <w:t>4.20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6</w:t>
      </w:r>
      <w:r>
        <w:rPr>
          <w:rFonts w:hint="eastAsia" w:ascii="仿宋_GB2312" w:eastAsia="仿宋_GB2312" w:cs="Droid Sans"/>
          <w:color w:val="auto"/>
          <w:sz w:val="32"/>
          <w:szCs w:val="32"/>
          <w:u w:val="none"/>
          <w:lang w:val="en-US" w:eastAsia="zh-CN"/>
        </w:rPr>
        <w:t>4.20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1</w:t>
      </w:r>
      <w:r>
        <w:rPr>
          <w:rFonts w:hint="eastAsia" w:ascii="楷体_GB2312" w:eastAsia="楷体_GB2312" w:cs="Droid Sans"/>
          <w:color w:val="auto"/>
          <w:sz w:val="32"/>
          <w:szCs w:val="32"/>
          <w:u w:val="none"/>
          <w:lang w:val="en-US" w:eastAsia="zh-CN"/>
        </w:rPr>
        <w:t>02.93</w:t>
      </w:r>
      <w:r>
        <w:rPr>
          <w:rFonts w:hint="eastAsia" w:ascii="楷体_GB2312" w:eastAsia="楷体_GB2312" w:cs="Droid Sans"/>
          <w:color w:val="auto"/>
          <w:sz w:val="32"/>
          <w:szCs w:val="32"/>
          <w:u w:val="none"/>
          <w:lang w:eastAsia="zh-CN"/>
        </w:rPr>
        <w:t>万元</w:t>
      </w:r>
    </w:p>
    <w:p>
      <w:pPr>
        <w:spacing w:line="560" w:lineRule="exact"/>
        <w:ind w:firstLine="640" w:firstLineChars="200"/>
        <w:jc w:val="both"/>
        <w:rPr>
          <w:rFonts w:hint="eastAsia" w:ascii="仿宋_GB2312" w:eastAsia="仿宋_GB2312" w:cs="Droid Sans"/>
          <w:color w:val="auto"/>
          <w:sz w:val="32"/>
          <w:szCs w:val="32"/>
          <w:u w:val="none"/>
          <w:lang w:eastAsia="zh-CN"/>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1</w:t>
      </w:r>
      <w:r>
        <w:rPr>
          <w:rFonts w:hint="eastAsia" w:ascii="仿宋_GB2312" w:eastAsia="仿宋_GB2312" w:cs="Droid Sans"/>
          <w:color w:val="auto"/>
          <w:sz w:val="32"/>
          <w:szCs w:val="32"/>
          <w:u w:val="none"/>
          <w:lang w:val="en-US" w:eastAsia="zh-CN"/>
        </w:rPr>
        <w:t>02.93</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p>
    <w:p>
      <w:pPr>
        <w:pStyle w:val="2"/>
        <w:jc w:val="center"/>
        <w:rPr>
          <w:rFonts w:hint="eastAsia" w:ascii="仿宋_GB2312" w:eastAsia="仿宋_GB2312" w:cs="Droid Sans"/>
          <w:color w:val="auto"/>
          <w:sz w:val="32"/>
          <w:szCs w:val="32"/>
          <w:u w:val="none"/>
          <w:lang w:eastAsia="zh-CN"/>
        </w:rPr>
      </w:pPr>
      <w:r>
        <w:drawing>
          <wp:anchor distT="0" distB="0" distL="114300" distR="114300" simplePos="0" relativeHeight="251658240" behindDoc="0" locked="0" layoutInCell="1" allowOverlap="1">
            <wp:simplePos x="0" y="0"/>
            <wp:positionH relativeFrom="column">
              <wp:posOffset>575945</wp:posOffset>
            </wp:positionH>
            <wp:positionV relativeFrom="paragraph">
              <wp:posOffset>304800</wp:posOffset>
            </wp:positionV>
            <wp:extent cx="4038600" cy="2190750"/>
            <wp:effectExtent l="4445" t="4445" r="14605" b="14605"/>
            <wp:wrapSquare wrapText="bothSides"/>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pStyle w:val="2"/>
        <w:jc w:val="both"/>
        <w:rPr>
          <w:rFonts w:hint="eastAsia" w:ascii="仿宋_GB2312" w:eastAsia="仿宋_GB2312"/>
          <w:sz w:val="32"/>
        </w:rPr>
      </w:pPr>
    </w:p>
    <w:p>
      <w:pPr>
        <w:pStyle w:val="2"/>
        <w:jc w:val="both"/>
        <w:rPr>
          <w:rFonts w:hint="eastAsia" w:ascii="仿宋_GB2312" w:eastAsia="仿宋_GB2312"/>
          <w:b w:val="0"/>
          <w:bCs w:val="0"/>
          <w:sz w:val="32"/>
        </w:rPr>
      </w:pPr>
    </w:p>
    <w:p>
      <w:pPr>
        <w:spacing w:line="560" w:lineRule="exact"/>
        <w:ind w:firstLine="0" w:firstLineChars="0"/>
        <w:rPr>
          <w:rFonts w:hint="eastAsia" w:ascii="仿宋_GB2312" w:eastAsia="仿宋_GB2312" w:cs="Droid Sans"/>
          <w:color w:val="auto"/>
          <w:sz w:val="32"/>
          <w:szCs w:val="32"/>
          <w:u w:val="none"/>
          <w:lang w:eastAsia="zh-CN"/>
        </w:rPr>
      </w:pPr>
    </w:p>
    <w:p>
      <w:pPr>
        <w:spacing w:line="560" w:lineRule="exact"/>
        <w:ind w:firstLine="0" w:firstLineChars="0"/>
        <w:jc w:val="center"/>
        <w:rPr>
          <w:rFonts w:hint="eastAsia" w:ascii="仿宋_GB2312" w:eastAsia="仿宋_GB2312" w:cs="Droid Sans"/>
          <w:b/>
          <w:bCs/>
          <w:color w:val="auto"/>
          <w:sz w:val="32"/>
          <w:szCs w:val="32"/>
          <w:u w:val="none"/>
          <w:lang w:val="en-US" w:eastAsia="zh-CN"/>
        </w:rPr>
      </w:pPr>
      <w:r>
        <w:rPr>
          <w:rFonts w:hint="eastAsia" w:ascii="仿宋_GB2312" w:eastAsia="仿宋_GB2312" w:cs="Droid Sans"/>
          <w:b/>
          <w:bCs/>
          <w:color w:val="auto"/>
          <w:sz w:val="32"/>
          <w:szCs w:val="32"/>
          <w:u w:val="none"/>
          <w:lang w:eastAsia="zh-CN"/>
        </w:rPr>
        <w:t>图</w:t>
      </w:r>
      <w:r>
        <w:rPr>
          <w:rFonts w:hint="eastAsia" w:ascii="仿宋_GB2312" w:eastAsia="仿宋_GB2312" w:cs="Droid Sans"/>
          <w:b/>
          <w:bCs/>
          <w:color w:val="auto"/>
          <w:sz w:val="32"/>
          <w:szCs w:val="32"/>
          <w:u w:val="none"/>
          <w:lang w:val="en-US" w:eastAsia="zh-CN"/>
        </w:rPr>
        <w:t>1：收入预算</w:t>
      </w:r>
    </w:p>
    <w:p>
      <w:pPr>
        <w:spacing w:line="560" w:lineRule="exact"/>
        <w:ind w:firstLine="0" w:firstLineChars="0"/>
        <w:jc w:val="both"/>
        <w:rPr>
          <w:rFonts w:hint="eastAsia" w:ascii="黑体" w:eastAsia="黑体" w:cs="Droid Sans"/>
          <w:color w:val="auto"/>
          <w:sz w:val="32"/>
          <w:szCs w:val="32"/>
          <w:u w:val="none"/>
        </w:rPr>
      </w:pPr>
      <w:r>
        <w:rPr>
          <w:rFonts w:hint="eastAsia" w:ascii="黑体" w:eastAsia="黑体" w:cs="Droid Sans"/>
          <w:color w:val="auto"/>
          <w:sz w:val="32"/>
          <w:szCs w:val="32"/>
          <w:u w:val="none"/>
          <w:lang w:val="en-US" w:eastAsia="zh-CN"/>
        </w:rPr>
        <w:t xml:space="preserve">    </w:t>
      </w: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354.61</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2024年年初预算数4</w:t>
      </w:r>
      <w:r>
        <w:rPr>
          <w:rFonts w:hint="eastAsia" w:ascii="仿宋_GB2312" w:eastAsia="仿宋_GB2312"/>
          <w:color w:val="auto"/>
          <w:sz w:val="32"/>
          <w:szCs w:val="32"/>
          <w:u w:val="none"/>
          <w:lang w:val="en-US" w:eastAsia="zh-CN"/>
        </w:rPr>
        <w:t>952.81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01.80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主要原因是增加了农业科技工作的任务；消化上年结转结余。</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3</w:t>
      </w:r>
      <w:r>
        <w:rPr>
          <w:rFonts w:hint="eastAsia" w:ascii="仿宋_GB2312" w:eastAsia="仿宋_GB2312"/>
          <w:color w:val="auto"/>
          <w:sz w:val="32"/>
          <w:szCs w:val="32"/>
          <w:highlight w:val="none"/>
          <w:u w:val="none"/>
          <w:lang w:val="en-US" w:eastAsia="zh-CN"/>
        </w:rPr>
        <w:t>722.83</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6</w:t>
      </w:r>
      <w:r>
        <w:rPr>
          <w:rFonts w:hint="eastAsia" w:ascii="仿宋_GB2312" w:eastAsia="仿宋_GB2312"/>
          <w:color w:val="auto"/>
          <w:sz w:val="32"/>
          <w:szCs w:val="32"/>
          <w:highlight w:val="none"/>
          <w:u w:val="none"/>
          <w:lang w:val="en-US" w:eastAsia="zh-CN"/>
        </w:rPr>
        <w:t>9.53</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2024年年初预算数3</w:t>
      </w:r>
      <w:r>
        <w:rPr>
          <w:rFonts w:hint="eastAsia" w:ascii="仿宋_GB2312" w:eastAsia="仿宋_GB2312"/>
          <w:color w:val="auto"/>
          <w:sz w:val="32"/>
          <w:szCs w:val="32"/>
          <w:u w:val="none"/>
          <w:lang w:val="en-US" w:eastAsia="zh-CN"/>
        </w:rPr>
        <w:t>579.11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43.72</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.02</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631.78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2024年年初预算数1</w:t>
      </w:r>
      <w:r>
        <w:rPr>
          <w:rFonts w:hint="eastAsia" w:ascii="仿宋_GB2312" w:eastAsia="仿宋_GB2312"/>
          <w:color w:val="auto"/>
          <w:sz w:val="32"/>
          <w:szCs w:val="32"/>
          <w:u w:val="none"/>
          <w:lang w:val="en-US" w:eastAsia="zh-CN"/>
        </w:rPr>
        <w:t>373.70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58.08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8.79</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pStyle w:val="2"/>
        <w:ind w:firstLine="642"/>
        <w:jc w:val="center"/>
        <w:rPr>
          <w:color w:val="auto"/>
          <w:u w:val="none"/>
        </w:rPr>
      </w:pPr>
      <w:r>
        <w:drawing>
          <wp:inline distT="0" distB="0" distL="114300" distR="114300">
            <wp:extent cx="3923030" cy="2675255"/>
            <wp:effectExtent l="4445" t="4445" r="15875" b="6350"/>
            <wp:docPr id="1" name="图片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s="Segoe UI"/>
          <w:color w:val="242931"/>
          <w:sz w:val="32"/>
          <w:szCs w:val="32"/>
          <w:shd w:val="clear" w:color="auto" w:fill="FFFFFF"/>
        </w:rPr>
        <w:t>北京市动物疫病预防控制中心</w:t>
      </w:r>
      <w:r>
        <w:rPr>
          <w:rFonts w:hint="eastAsia" w:ascii="仿宋_GB2312" w:eastAsia="仿宋_GB2312"/>
          <w:color w:val="auto"/>
          <w:sz w:val="32"/>
          <w:szCs w:val="32"/>
          <w:u w:val="none"/>
        </w:rPr>
        <w:t>因公出国（境）费用、公务接待费、公务用车购置和运行维护费开支包括</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个所属单位。</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7.18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财政拨款“三公”经费预算减少</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.10</w:t>
      </w:r>
      <w:r>
        <w:rPr>
          <w:rFonts w:hint="eastAsia" w:ascii="仿宋_GB2312" w:eastAsia="仿宋_GB2312"/>
          <w:color w:val="auto"/>
          <w:sz w:val="32"/>
          <w:szCs w:val="32"/>
          <w:u w:val="none"/>
        </w:rPr>
        <w:t>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与2024年持平</w:t>
      </w:r>
      <w:r>
        <w:rPr>
          <w:rFonts w:hint="eastAsia" w:ascii="仿宋_GB2312" w:eastAsia="仿宋_GB2312"/>
          <w:color w:val="auto"/>
          <w:sz w:val="32"/>
          <w:szCs w:val="32"/>
          <w:u w:val="none"/>
        </w:rPr>
        <w:t>。</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7.18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7.98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4.08</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.10</w:t>
      </w:r>
      <w:r>
        <w:rPr>
          <w:rFonts w:hint="eastAsia" w:ascii="仿宋_GB2312" w:eastAsia="仿宋_GB2312"/>
          <w:color w:val="auto"/>
          <w:sz w:val="32"/>
          <w:szCs w:val="32"/>
          <w:u w:val="none"/>
        </w:rPr>
        <w:t>万元，主要原因：更新公务车1辆，满足业务工作用车需要，以保障单位业务工作正常开展</w:t>
      </w:r>
      <w:bookmarkStart w:id="0" w:name="_GoBack"/>
      <w:bookmarkEnd w:id="0"/>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9.20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.38</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.40</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.32</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sz w:val="32"/>
          <w:szCs w:val="32"/>
        </w:rPr>
        <w:t>北京市</w:t>
      </w:r>
      <w:r>
        <w:rPr>
          <w:rFonts w:ascii="仿宋_GB2312" w:eastAsia="仿宋_GB2312"/>
          <w:sz w:val="32"/>
          <w:szCs w:val="32"/>
        </w:rPr>
        <w:t>动物疫病预防控制中心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76.21</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08.57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67.64</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ind w:firstLine="640" w:firstLineChars="200"/>
        <w:rPr>
          <w:rFonts w:hint="eastAsia"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sz w:val="32"/>
          <w:szCs w:val="32"/>
        </w:rPr>
        <w:t>北京市</w:t>
      </w:r>
      <w:r>
        <w:rPr>
          <w:rFonts w:ascii="仿宋_GB2312" w:eastAsia="仿宋_GB2312"/>
          <w:sz w:val="32"/>
          <w:szCs w:val="32"/>
        </w:rPr>
        <w:t>动物疫病预防控制中心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528.85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sz w:val="32"/>
          <w:szCs w:val="32"/>
        </w:rPr>
        <w:t>北京市</w:t>
      </w:r>
      <w:r>
        <w:rPr>
          <w:rFonts w:ascii="仿宋_GB2312" w:eastAsia="仿宋_GB2312"/>
          <w:sz w:val="32"/>
          <w:szCs w:val="32"/>
        </w:rPr>
        <w:t>动物疫病预防控制中心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11</w:t>
      </w:r>
      <w:r>
        <w:rPr>
          <w:rFonts w:hint="eastAsia" w:ascii="仿宋_GB2312" w:eastAsia="仿宋_GB2312"/>
          <w:color w:val="000000"/>
          <w:sz w:val="32"/>
          <w:szCs w:val="32"/>
          <w:u w:val="none"/>
        </w:rPr>
        <w:t>台，</w:t>
      </w:r>
      <w:r>
        <w:rPr>
          <w:rFonts w:hint="eastAsia" w:ascii="仿宋_GB2312" w:eastAsia="仿宋_GB2312"/>
          <w:color w:val="000000" w:themeColor="text1"/>
          <w:sz w:val="32"/>
          <w:szCs w:val="32"/>
          <w:highlight w:val="none"/>
          <w:u w:val="none"/>
          <w:shd w:val="clear" w:color="auto" w:fill="auto"/>
          <w14:textFill>
            <w14:solidFill>
              <w14:schemeClr w14:val="tx1"/>
            </w14:solidFill>
          </w14:textFill>
        </w:rPr>
        <w:t>共计</w:t>
      </w:r>
      <w:r>
        <w:rPr>
          <w:rFonts w:hint="eastAsia" w:ascii="仿宋_GB2312" w:eastAsia="仿宋_GB2312"/>
          <w:color w:val="000000" w:themeColor="text1"/>
          <w:sz w:val="32"/>
          <w:szCs w:val="32"/>
          <w:highlight w:val="none"/>
          <w:u w:val="none"/>
          <w:shd w:val="clear" w:color="auto" w:fill="auto"/>
          <w:lang w:val="en-US" w:eastAsia="zh-CN"/>
          <w14:textFill>
            <w14:solidFill>
              <w14:schemeClr w14:val="tx1"/>
            </w14:solidFill>
          </w14:textFill>
        </w:rPr>
        <w:t>215.32</w:t>
      </w:r>
      <w:r>
        <w:rPr>
          <w:rFonts w:hint="eastAsia" w:ascii="仿宋_GB2312" w:eastAsia="仿宋_GB2312"/>
          <w:color w:val="000000" w:themeColor="text1"/>
          <w:sz w:val="32"/>
          <w:szCs w:val="32"/>
          <w:highlight w:val="none"/>
          <w:u w:val="none"/>
          <w:shd w:val="clear" w:color="auto" w:fill="auto"/>
          <w14:textFill>
            <w14:solidFill>
              <w14:schemeClr w14:val="tx1"/>
            </w14:solidFill>
          </w14:textFill>
        </w:rPr>
        <w:t>万元；单位价值50万元以上的设备</w:t>
      </w:r>
      <w:r>
        <w:rPr>
          <w:rFonts w:hint="eastAsia" w:ascii="仿宋_GB2312" w:eastAsia="仿宋_GB2312"/>
          <w:color w:val="000000" w:themeColor="text1"/>
          <w:sz w:val="32"/>
          <w:szCs w:val="32"/>
          <w:highlight w:val="none"/>
          <w:u w:val="none"/>
          <w:shd w:val="clear" w:color="auto" w:fill="auto"/>
          <w:lang w:val="en-US" w:eastAsia="zh-CN"/>
          <w14:textFill>
            <w14:solidFill>
              <w14:schemeClr w14:val="tx1"/>
            </w14:solidFill>
          </w14:textFill>
        </w:rPr>
        <w:t>42</w:t>
      </w:r>
      <w:r>
        <w:rPr>
          <w:rFonts w:hint="eastAsia" w:ascii="仿宋_GB2312" w:eastAsia="仿宋_GB2312"/>
          <w:color w:val="000000" w:themeColor="text1"/>
          <w:sz w:val="32"/>
          <w:szCs w:val="32"/>
          <w:highlight w:val="none"/>
          <w:u w:val="none"/>
          <w:shd w:val="clear" w:color="auto" w:fill="auto"/>
          <w14:textFill>
            <w14:solidFill>
              <w14:schemeClr w14:val="tx1"/>
            </w14:solidFill>
          </w14:textFill>
        </w:rPr>
        <w:t>台（套）、共计</w:t>
      </w:r>
      <w:r>
        <w:rPr>
          <w:rFonts w:hint="eastAsia" w:ascii="仿宋_GB2312" w:eastAsia="仿宋_GB2312"/>
          <w:color w:val="000000" w:themeColor="text1"/>
          <w:sz w:val="32"/>
          <w:szCs w:val="32"/>
          <w:highlight w:val="none"/>
          <w:u w:val="none"/>
          <w:shd w:val="clear" w:color="auto" w:fill="auto"/>
          <w:lang w:val="en-US" w:eastAsia="zh-CN"/>
          <w14:textFill>
            <w14:solidFill>
              <w14:schemeClr w14:val="tx1"/>
            </w14:solidFill>
          </w14:textFill>
        </w:rPr>
        <w:t>5251.64</w:t>
      </w:r>
      <w:r>
        <w:rPr>
          <w:rFonts w:hint="eastAsia" w:ascii="仿宋_GB2312" w:eastAsia="仿宋_GB2312"/>
          <w:color w:val="000000" w:themeColor="text1"/>
          <w:sz w:val="32"/>
          <w:szCs w:val="32"/>
          <w:highlight w:val="none"/>
          <w:u w:val="none"/>
          <w:shd w:val="clear" w:color="auto" w:fill="auto"/>
          <w14:textFill>
            <w14:solidFill>
              <w14:schemeClr w14:val="tx1"/>
            </w14:solidFill>
          </w14:textFill>
        </w:rPr>
        <w:t>万元。</w:t>
      </w:r>
      <w:r>
        <w:rPr>
          <w:rFonts w:hint="eastAsia" w:ascii="仿宋_GB2312" w:eastAsia="仿宋_GB2312"/>
          <w:color w:val="000000"/>
          <w:sz w:val="32"/>
          <w:szCs w:val="32"/>
          <w:u w:val="none"/>
          <w:lang w:val="en-US" w:eastAsia="zh-CN"/>
        </w:rPr>
        <w:t>2025年预算安排中，购置单位价值50万元以上的设备0台（套），共计0万元。</w:t>
      </w:r>
    </w:p>
    <w:p>
      <w:pPr>
        <w:numPr>
          <w:ilvl w:val="0"/>
          <w:numId w:val="2"/>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sz w:val="32"/>
          <w:szCs w:val="32"/>
        </w:rPr>
        <w:t>北京市</w:t>
      </w:r>
      <w:r>
        <w:rPr>
          <w:rFonts w:ascii="仿宋_GB2312" w:eastAsia="仿宋_GB2312"/>
          <w:sz w:val="32"/>
          <w:szCs w:val="32"/>
        </w:rPr>
        <w:t>动物疫病预防控制中心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hinese Quot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z&#10;zNqstwEAAFQDAAAOAAAAAAAAAAEAIAAAAB4BAABkcnMvZTJvRG9jLnhtbFBLBQYAAAAABgAGAFkB&#10;AABHBQ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67B56DE5"/>
    <w:multiLevelType w:val="singleLevel"/>
    <w:tmpl w:val="67B56DE5"/>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73B3C"/>
    <w:rsid w:val="01AC17A7"/>
    <w:rsid w:val="07E448C0"/>
    <w:rsid w:val="16773B3C"/>
    <w:rsid w:val="23F80E7A"/>
    <w:rsid w:val="2A8168C5"/>
    <w:rsid w:val="2C465444"/>
    <w:rsid w:val="37C30B24"/>
    <w:rsid w:val="41D43B1C"/>
    <w:rsid w:val="43433CC8"/>
    <w:rsid w:val="45D75A16"/>
    <w:rsid w:val="47F44F78"/>
    <w:rsid w:val="4CA0066A"/>
    <w:rsid w:val="5A185D21"/>
    <w:rsid w:val="5D8E2CB0"/>
    <w:rsid w:val="5E7E7911"/>
    <w:rsid w:val="65047F9B"/>
    <w:rsid w:val="65D95B53"/>
    <w:rsid w:val="6D8458AE"/>
    <w:rsid w:val="754626BF"/>
    <w:rsid w:val="76D8326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收入预算</a:t>
            </a:r>
          </a:p>
        </c:rich>
      </c:tx>
      <c:layout>
        <c:manualLayout>
          <c:xMode val="edge"/>
          <c:yMode val="edge"/>
          <c:x val="0.377070445020954"/>
          <c:y val="0.0304347826086957"/>
        </c:manualLayout>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Lbls>
            <c:dLbl>
              <c:idx val="1"/>
              <c:layout>
                <c:manualLayout>
                  <c:x val="-0.0628617042506486"/>
                  <c:y val="-0.0521739130434783"/>
                </c:manualLayout>
              </c:layout>
              <c:dLblPos val="inEnd"/>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449012173218918"/>
                  <c:y val="-0.0782608695652174"/>
                </c:manualLayout>
              </c:layout>
              <c:dLblPos val="inEnd"/>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[工作簿1]Sheet1!$A$1:$A$3</c:f>
              <c:strCache>
                <c:ptCount val="3"/>
                <c:pt idx="0">
                  <c:v>一般公共预算拨款收入</c:v>
                </c:pt>
                <c:pt idx="1">
                  <c:v>其他收入</c:v>
                </c:pt>
                <c:pt idx="2">
                  <c:v>上年结转结余</c:v>
                </c:pt>
              </c:strCache>
            </c:strRef>
          </c:cat>
          <c:val>
            <c:numRef>
              <c:f>[工作簿1]Sheet1!$B$1:$B$3</c:f>
              <c:numCache>
                <c:formatCode>General</c:formatCode>
                <c:ptCount val="3"/>
                <c:pt idx="0" c:formatCode="General">
                  <c:v>5187.48</c:v>
                </c:pt>
                <c:pt idx="1" c:formatCode="General">
                  <c:v>64.2</c:v>
                </c:pt>
                <c:pt idx="2" c:formatCode="General">
                  <c:v>102.93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Lbls>
            <c:dLbl>
              <c:idx val="0"/>
              <c:layout>
                <c:manualLayout>
                  <c:x val="-0.0548537234042553"/>
                  <c:y val="-0.02985074626865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34906914893617"/>
                  <c:y val="0.06343283582089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基本支出</c:v>
                </c:pt>
                <c:pt idx="1">
                  <c:v>项目支出</c:v>
                </c:pt>
              </c:strCache>
            </c:strRef>
          </c:cat>
          <c:val>
            <c:numRef>
              <c:f>[工作簿1]Sheet1!$B$1:$B$2</c:f>
              <c:numCache>
                <c:formatCode>General</c:formatCode>
                <c:ptCount val="2"/>
                <c:pt idx="0" c:formatCode="General">
                  <c:v>3722.83</c:v>
                </c:pt>
                <c:pt idx="1" c:formatCode="General">
                  <c:v>1631.78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2025-02-19T05:38:00Z</dcterms:created>
  <dc:creator>李晶(防疫物资科/北京市动物疫病预防控制中心)</dc:creator>
  <cp:lastModifiedBy>lenovo</cp:lastModifiedBy>
  <dcterms:modified xsi:type="dcterms:W3CDTF">2025-02-28T07:18:46Z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