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6630"/>
        </w:tabs>
        <w:spacing w:line="240" w:lineRule="exact"/>
        <w:rPr>
          <w:rFonts w:hint="eastAsia" w:ascii="Cambria" w:eastAsia="黑体"/>
          <w:color w:val="auto"/>
          <w:sz w:val="36"/>
          <w:u w:val="none"/>
        </w:rPr>
      </w:pP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val="en-US" w:eastAsia="zh-CN"/>
        </w:rPr>
        <w:t>北京市农业技术推广站</w:t>
      </w: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pPr>
        <w:spacing w:line="560" w:lineRule="exact"/>
        <w:jc w:val="center"/>
        <w:rPr>
          <w:rFonts w:hint="eastAsia" w:ascii="方正小标宋简体" w:eastAsia="方正小标宋简体"/>
          <w:color w:val="000000"/>
          <w:sz w:val="44"/>
          <w:szCs w:val="44"/>
          <w:u w:val="none"/>
        </w:rPr>
      </w:pP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pStyle w:val="3"/>
        <w:rPr>
          <w:rFonts w:hint="default" w:ascii="Cambria" w:eastAsia="黑体"/>
          <w:color w:val="000000"/>
          <w:sz w:val="36"/>
          <w:szCs w:val="32"/>
        </w:rPr>
      </w:pP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both"/>
        <w:rPr>
          <w:rFonts w:hint="eastAsia" w:ascii="仿宋_GB2312" w:hAnsi="仿宋_GB2312" w:eastAsia="仿宋_GB2312" w:cs="仿宋_GB2312"/>
          <w:color w:val="000000"/>
          <w:sz w:val="36"/>
          <w:szCs w:val="36"/>
          <w:u w:val="none"/>
        </w:rPr>
      </w:pPr>
    </w:p>
    <w:p>
      <w:pPr>
        <w:pStyle w:val="2"/>
        <w:rPr>
          <w:rFonts w:hint="eastAsia" w:ascii="仿宋_GB2312" w:hAnsi="仿宋_GB2312" w:eastAsia="仿宋_GB2312" w:cs="仿宋_GB2312"/>
          <w:color w:val="000000"/>
          <w:sz w:val="36"/>
          <w:szCs w:val="36"/>
          <w:u w:val="none"/>
        </w:rPr>
      </w:pPr>
    </w:p>
    <w:p>
      <w:pPr>
        <w:pStyle w:val="2"/>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pStyle w:val="2"/>
        <w:rPr>
          <w:rFonts w:hint="eastAsia"/>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360" w:lineRule="auto"/>
        <w:rPr>
          <w:rFonts w:hint="eastAsia" w:ascii="仿宋_GB2312" w:eastAsia="仿宋_GB2312"/>
          <w:color w:val="000000"/>
          <w:sz w:val="32"/>
          <w:szCs w:val="32"/>
          <w:u w:val="none"/>
        </w:rPr>
      </w:pPr>
      <w:bookmarkStart w:id="0" w:name="_GoBack"/>
      <w:bookmarkEnd w:id="0"/>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widowControl/>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zh-CN"/>
        </w:rPr>
        <w:t>北京市农业技术推广站，</w:t>
      </w:r>
      <w:r>
        <w:rPr>
          <w:rFonts w:hint="eastAsia" w:ascii="仿宋_GB2312" w:hAnsi="仿宋_GB2312" w:eastAsia="仿宋_GB2312" w:cs="仿宋_GB2312"/>
          <w:color w:val="000000"/>
          <w:sz w:val="32"/>
          <w:szCs w:val="32"/>
        </w:rPr>
        <w:t>为全额拨款事业单位。</w:t>
      </w:r>
    </w:p>
    <w:p>
      <w:pPr>
        <w:widowControl/>
        <w:ind w:firstLine="640" w:firstLineChars="200"/>
        <w:jc w:val="left"/>
        <w:rPr>
          <w:rFonts w:hint="eastAsia" w:ascii="仿宋_GB2312" w:hAnsi="仿宋_GB2312" w:eastAsia="仿宋_GB2312" w:cs="仿宋_GB2312"/>
        </w:rPr>
      </w:pPr>
      <w:r>
        <w:rPr>
          <w:rFonts w:hint="eastAsia" w:ascii="仿宋_GB2312" w:hAnsi="仿宋_GB2312" w:eastAsia="仿宋_GB2312" w:cs="仿宋_GB2312"/>
          <w:sz w:val="32"/>
          <w:szCs w:val="32"/>
        </w:rPr>
        <w:t>主要职责：</w:t>
      </w:r>
      <w:r>
        <w:rPr>
          <w:rFonts w:hint="eastAsia" w:ascii="仿宋_GB2312" w:hAnsi="仿宋_GB2312" w:eastAsia="仿宋_GB2312" w:cs="仿宋_GB2312"/>
          <w:color w:val="000000"/>
          <w:kern w:val="0"/>
          <w:sz w:val="31"/>
          <w:szCs w:val="31"/>
          <w:lang w:bidi="ar"/>
        </w:rPr>
        <w:t xml:space="preserve">北京市农业技术推广站为全额拨款事业单位。主要职责是负责本市有关种植业关键性技术推广工作，指导各区相关业务工作；承担有关种植业管理、农业生态环境保护、特色产业和休闲农业、农业防灾减灾、农业节水管理的技术性、 </w:t>
      </w:r>
    </w:p>
    <w:p>
      <w:pPr>
        <w:widowControl/>
        <w:jc w:val="left"/>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bidi="ar"/>
        </w:rPr>
        <w:t xml:space="preserve">辅助性、事务性等工作；承办机关交办的其他事项。 </w:t>
      </w:r>
    </w:p>
    <w:p>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北京市农业技术推广站内部</w:t>
      </w:r>
      <w:r>
        <w:rPr>
          <w:rFonts w:hint="eastAsia" w:ascii="仿宋_GB2312" w:hAnsi="仿宋_GB2312" w:eastAsia="仿宋_GB2312" w:cs="仿宋_GB2312"/>
          <w:color w:val="000000"/>
          <w:kern w:val="0"/>
          <w:sz w:val="31"/>
          <w:szCs w:val="31"/>
          <w:u w:val="none"/>
          <w:lang w:val="zh-CN" w:bidi="ar"/>
        </w:rPr>
        <w:t>设置1</w:t>
      </w:r>
      <w:r>
        <w:rPr>
          <w:rFonts w:hint="eastAsia" w:ascii="仿宋_GB2312" w:hAnsi="仿宋_GB2312" w:eastAsia="仿宋_GB2312" w:cs="仿宋_GB2312"/>
          <w:color w:val="000000"/>
          <w:kern w:val="0"/>
          <w:sz w:val="31"/>
          <w:szCs w:val="31"/>
          <w:u w:val="none"/>
          <w:lang w:val="en-US" w:eastAsia="zh-CN" w:bidi="ar"/>
        </w:rPr>
        <w:t>2</w:t>
      </w:r>
      <w:r>
        <w:rPr>
          <w:rFonts w:hint="eastAsia" w:ascii="仿宋_GB2312" w:hAnsi="仿宋_GB2312" w:eastAsia="仿宋_GB2312" w:cs="仿宋_GB2312"/>
          <w:color w:val="000000"/>
          <w:kern w:val="0"/>
          <w:sz w:val="31"/>
          <w:szCs w:val="31"/>
          <w:u w:val="none"/>
          <w:lang w:val="zh-CN" w:bidi="ar"/>
        </w:rPr>
        <w:t>个科室</w:t>
      </w:r>
      <w:r>
        <w:rPr>
          <w:rFonts w:hint="eastAsia" w:ascii="仿宋_GB2312" w:hAnsi="仿宋_GB2312" w:eastAsia="仿宋_GB2312" w:cs="仿宋_GB2312"/>
          <w:color w:val="000000"/>
          <w:kern w:val="0"/>
          <w:sz w:val="32"/>
          <w:szCs w:val="32"/>
          <w:u w:val="none"/>
          <w:lang w:val="zh-CN"/>
        </w:rPr>
        <w:t>，分别为办公室、人事科、科技科、综合科、粮经作物科、蔬菜作物科、特色作物科、设施农业科、生态农业科、产业融合科、低碳发展科、农情信息科。</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20" w:firstLineChars="200"/>
        <w:rPr>
          <w:rFonts w:hint="eastAsia" w:ascii="仿宋_GB2312" w:eastAsia="仿宋_GB2312"/>
          <w:color w:val="000000"/>
          <w:sz w:val="32"/>
          <w:szCs w:val="32"/>
          <w:u w:val="none"/>
        </w:rPr>
      </w:pPr>
      <w:r>
        <w:rPr>
          <w:rFonts w:hint="eastAsia" w:ascii="仿宋_GB2312" w:hAnsi="仿宋_GB2312" w:eastAsia="仿宋_GB2312" w:cs="仿宋_GB2312"/>
          <w:color w:val="000000"/>
          <w:kern w:val="0"/>
          <w:sz w:val="31"/>
          <w:szCs w:val="31"/>
          <w:lang w:bidi="ar"/>
        </w:rPr>
        <w:t>北京市农业技术推广站</w:t>
      </w:r>
      <w:r>
        <w:rPr>
          <w:rFonts w:hint="eastAsia" w:ascii="仿宋_GB2312" w:hAnsi="仿宋_GB2312" w:eastAsia="仿宋_GB2312" w:cs="仿宋_GB2312"/>
          <w:color w:val="000000"/>
          <w:sz w:val="32"/>
          <w:szCs w:val="32"/>
          <w:u w:val="none"/>
        </w:rPr>
        <w:t>事业编制</w:t>
      </w:r>
      <w:r>
        <w:rPr>
          <w:rFonts w:hint="eastAsia" w:ascii="仿宋_GB2312" w:hAnsi="仿宋_GB2312" w:eastAsia="仿宋_GB2312" w:cs="仿宋_GB2312"/>
          <w:color w:val="000000"/>
          <w:sz w:val="32"/>
          <w:szCs w:val="32"/>
          <w:u w:val="none"/>
          <w:lang w:eastAsia="zh-CN"/>
        </w:rPr>
        <w:t>1</w:t>
      </w:r>
      <w:r>
        <w:rPr>
          <w:rFonts w:hint="eastAsia" w:ascii="仿宋_GB2312" w:hAnsi="仿宋_GB2312" w:eastAsia="仿宋_GB2312" w:cs="仿宋_GB2312"/>
          <w:color w:val="000000"/>
          <w:sz w:val="32"/>
          <w:szCs w:val="32"/>
          <w:u w:val="none"/>
          <w:lang w:val="en-US" w:eastAsia="zh-CN"/>
        </w:rPr>
        <w:t>14</w:t>
      </w:r>
      <w:r>
        <w:rPr>
          <w:rFonts w:hint="eastAsia" w:ascii="仿宋_GB2312" w:hAnsi="仿宋_GB2312" w:eastAsia="仿宋_GB2312" w:cs="仿宋_GB2312"/>
          <w:color w:val="000000"/>
          <w:sz w:val="32"/>
          <w:szCs w:val="32"/>
          <w:u w:val="none"/>
        </w:rPr>
        <w:t>人，实有人数</w:t>
      </w:r>
      <w:r>
        <w:rPr>
          <w:rFonts w:hint="eastAsia" w:ascii="仿宋_GB2312" w:hAnsi="仿宋_GB2312" w:eastAsia="仿宋_GB2312" w:cs="仿宋_GB2312"/>
          <w:color w:val="000000"/>
          <w:sz w:val="32"/>
          <w:szCs w:val="32"/>
          <w:u w:val="none"/>
          <w:lang w:eastAsia="zh-CN"/>
        </w:rPr>
        <w:t>1</w:t>
      </w:r>
      <w:r>
        <w:rPr>
          <w:rFonts w:hint="eastAsia" w:ascii="仿宋_GB2312" w:hAnsi="仿宋_GB2312" w:eastAsia="仿宋_GB2312" w:cs="仿宋_GB2312"/>
          <w:color w:val="000000"/>
          <w:sz w:val="32"/>
          <w:szCs w:val="32"/>
          <w:u w:val="none"/>
          <w:lang w:val="en-US" w:eastAsia="zh-CN"/>
        </w:rPr>
        <w:t>03</w:t>
      </w:r>
      <w:r>
        <w:rPr>
          <w:rFonts w:hint="eastAsia" w:ascii="仿宋_GB2312" w:hAnsi="仿宋_GB2312" w:eastAsia="仿宋_GB2312" w:cs="仿宋_GB2312"/>
          <w:color w:val="000000"/>
          <w:sz w:val="32"/>
          <w:szCs w:val="32"/>
          <w:u w:val="none"/>
        </w:rPr>
        <w:t>人；</w:t>
      </w:r>
      <w:r>
        <w:rPr>
          <w:rFonts w:hint="eastAsia" w:ascii="仿宋_GB2312" w:hAnsi="仿宋_GB2312" w:eastAsia="仿宋_GB2312" w:cs="仿宋_GB2312"/>
          <w:sz w:val="32"/>
          <w:szCs w:val="32"/>
        </w:rPr>
        <w:t>离退休人员7</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人，其中：离休1人，退休7</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highlight w:val="yellow"/>
          <w:u w:val="none"/>
          <w:lang w:eastAsia="zh-CN"/>
        </w:rPr>
      </w:pPr>
      <w:r>
        <w:rPr>
          <w:rFonts w:hint="eastAsia" w:ascii="仿宋_GB2312" w:hAnsi="Calibri" w:eastAsia="仿宋_GB2312" w:cs="Times New Roman"/>
          <w:sz w:val="32"/>
          <w:szCs w:val="32"/>
        </w:rPr>
        <w:t>2025年收入预算</w:t>
      </w:r>
      <w:r>
        <w:rPr>
          <w:rFonts w:hint="eastAsia" w:ascii="仿宋_GB2312" w:hAnsi="Calibri" w:eastAsia="仿宋_GB2312" w:cs="Times New Roman"/>
          <w:sz w:val="32"/>
          <w:szCs w:val="32"/>
          <w:highlight w:val="none"/>
          <w:lang w:val="en-US" w:eastAsia="zh-CN"/>
        </w:rPr>
        <w:t>9339.8</w:t>
      </w:r>
      <w:r>
        <w:rPr>
          <w:rFonts w:hint="eastAsia" w:ascii="仿宋_GB2312" w:hAnsi="Calibri" w:eastAsia="仿宋_GB2312" w:cs="Times New Roman"/>
          <w:sz w:val="32"/>
          <w:szCs w:val="32"/>
        </w:rPr>
        <w:t>万元，比2024年</w:t>
      </w:r>
      <w:r>
        <w:rPr>
          <w:rFonts w:hint="eastAsia" w:ascii="仿宋_GB2312" w:eastAsia="仿宋_GB2312"/>
          <w:sz w:val="32"/>
          <w:szCs w:val="32"/>
        </w:rPr>
        <w:t>79</w:t>
      </w:r>
      <w:r>
        <w:rPr>
          <w:rFonts w:hint="eastAsia" w:ascii="仿宋_GB2312" w:eastAsia="仿宋_GB2312"/>
          <w:sz w:val="32"/>
          <w:szCs w:val="32"/>
          <w:lang w:val="en-US" w:eastAsia="zh-CN"/>
        </w:rPr>
        <w:t>48.17</w:t>
      </w:r>
      <w:r>
        <w:rPr>
          <w:rFonts w:hint="eastAsia" w:ascii="仿宋_GB2312" w:hAnsi="Calibri" w:eastAsia="仿宋_GB2312" w:cs="Times New Roman"/>
          <w:sz w:val="32"/>
          <w:szCs w:val="32"/>
        </w:rPr>
        <w:t>万元增加</w:t>
      </w:r>
      <w:r>
        <w:rPr>
          <w:rFonts w:hint="eastAsia" w:ascii="仿宋_GB2312" w:hAnsi="Calibri" w:eastAsia="仿宋_GB2312" w:cs="Times New Roman"/>
          <w:sz w:val="32"/>
          <w:szCs w:val="32"/>
          <w:lang w:val="en-US" w:eastAsia="zh-CN"/>
        </w:rPr>
        <w:t>1391.63</w:t>
      </w:r>
      <w:r>
        <w:rPr>
          <w:rFonts w:hint="eastAsia" w:ascii="仿宋_GB2312" w:hAnsi="Calibri" w:eastAsia="仿宋_GB2312" w:cs="Times New Roman"/>
          <w:sz w:val="32"/>
          <w:szCs w:val="32"/>
        </w:rPr>
        <w:t>万元</w:t>
      </w:r>
      <w:r>
        <w:rPr>
          <w:rFonts w:hint="eastAsia" w:ascii="仿宋_GB2312" w:eastAsia="仿宋_GB2312"/>
          <w:color w:val="auto"/>
          <w:sz w:val="32"/>
          <w:szCs w:val="32"/>
          <w:u w:val="none"/>
          <w:lang w:eastAsia="zh-CN"/>
        </w:rPr>
        <w:t>，</w:t>
      </w:r>
      <w:r>
        <w:rPr>
          <w:rFonts w:hint="eastAsia" w:ascii="仿宋_GB2312" w:hAnsi="Calibri" w:eastAsia="仿宋_GB2312" w:cs="Times New Roman"/>
          <w:sz w:val="32"/>
          <w:szCs w:val="32"/>
        </w:rPr>
        <w:t>增长</w:t>
      </w:r>
      <w:r>
        <w:rPr>
          <w:rFonts w:hint="eastAsia" w:ascii="仿宋_GB2312" w:hAnsi="Calibri" w:eastAsia="仿宋_GB2312" w:cs="Times New Roman"/>
          <w:sz w:val="32"/>
          <w:szCs w:val="32"/>
          <w:lang w:val="en-US" w:eastAsia="zh-CN"/>
        </w:rPr>
        <w:t>17.51</w:t>
      </w:r>
      <w:r>
        <w:rPr>
          <w:rFonts w:hint="eastAsia" w:ascii="仿宋_GB2312" w:hAnsi="Calibri" w:eastAsia="仿宋_GB2312" w:cs="Times New Roman"/>
          <w:sz w:val="32"/>
          <w:szCs w:val="32"/>
        </w:rPr>
        <w:t>%</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hAnsi="Calibri" w:eastAsia="仿宋_GB2312" w:cs="Times New Roman"/>
          <w:sz w:val="32"/>
          <w:szCs w:val="32"/>
          <w:lang w:val="en-US" w:eastAsia="zh-CN"/>
        </w:rPr>
        <w:t>增加乡村振兴农业科技项目任务。</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仿宋_GB2312" w:hAnsi="Calibri" w:eastAsia="仿宋_GB2312" w:cs="Times New Roman"/>
          <w:sz w:val="32"/>
          <w:szCs w:val="32"/>
          <w:lang w:val="en-US" w:eastAsia="zh-CN"/>
        </w:rPr>
        <w:t>8380.97</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1.</w:t>
      </w:r>
      <w:r>
        <w:rPr>
          <w:rFonts w:hint="eastAsia" w:ascii="仿宋_GB2312" w:hAnsi="仿宋_GB2312" w:eastAsia="仿宋_GB2312" w:cs="仿宋_GB2312"/>
          <w:color w:val="auto"/>
          <w:sz w:val="32"/>
          <w:szCs w:val="32"/>
          <w:u w:val="none"/>
          <w:lang w:eastAsia="zh-CN"/>
        </w:rPr>
        <w:t>一般公共预算拨款收入</w:t>
      </w:r>
      <w:r>
        <w:rPr>
          <w:rFonts w:hint="eastAsia" w:ascii="仿宋_GB2312" w:hAnsi="仿宋_GB2312" w:eastAsia="仿宋_GB2312" w:cs="仿宋_GB2312"/>
          <w:sz w:val="32"/>
          <w:szCs w:val="32"/>
          <w:lang w:val="en-US" w:eastAsia="zh-CN"/>
        </w:rPr>
        <w:t>8380.97</w:t>
      </w:r>
      <w:r>
        <w:rPr>
          <w:rFonts w:hint="eastAsia" w:ascii="仿宋_GB2312" w:hAnsi="仿宋_GB2312" w:eastAsia="仿宋_GB2312" w:cs="仿宋_GB2312"/>
          <w:color w:val="auto"/>
          <w:sz w:val="32"/>
          <w:szCs w:val="32"/>
          <w:u w:val="none"/>
        </w:rPr>
        <w:t>万元。</w:t>
      </w:r>
    </w:p>
    <w:p>
      <w:pPr>
        <w:spacing w:line="560" w:lineRule="exact"/>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2.政府性基金</w:t>
      </w:r>
      <w:r>
        <w:rPr>
          <w:rFonts w:hint="eastAsia" w:ascii="仿宋_GB2312" w:hAnsi="仿宋_GB2312" w:eastAsia="仿宋_GB2312" w:cs="仿宋_GB2312"/>
          <w:color w:val="auto"/>
          <w:sz w:val="32"/>
          <w:szCs w:val="32"/>
          <w:u w:val="none"/>
          <w:lang w:eastAsia="zh-CN"/>
        </w:rPr>
        <w:t>预算拨款收入0</w:t>
      </w:r>
      <w:r>
        <w:rPr>
          <w:rFonts w:hint="eastAsia" w:ascii="仿宋_GB2312" w:hAnsi="仿宋_GB2312" w:eastAsia="仿宋_GB2312" w:cs="仿宋_GB2312"/>
          <w:color w:val="auto"/>
          <w:sz w:val="32"/>
          <w:szCs w:val="32"/>
          <w:u w:val="none"/>
        </w:rPr>
        <w:t>万元。</w:t>
      </w:r>
    </w:p>
    <w:p>
      <w:pPr>
        <w:numPr>
          <w:ilvl w:val="0"/>
          <w:numId w:val="0"/>
        </w:numPr>
        <w:spacing w:line="560" w:lineRule="exact"/>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3.国有资本经营</w:t>
      </w:r>
      <w:r>
        <w:rPr>
          <w:rFonts w:hint="eastAsia" w:ascii="仿宋_GB2312" w:hAnsi="仿宋_GB2312" w:eastAsia="仿宋_GB2312" w:cs="仿宋_GB2312"/>
          <w:color w:val="auto"/>
          <w:sz w:val="32"/>
          <w:szCs w:val="32"/>
          <w:u w:val="none"/>
          <w:lang w:eastAsia="zh-CN"/>
        </w:rPr>
        <w:t>预算拨款收入0</w:t>
      </w:r>
      <w:r>
        <w:rPr>
          <w:rFonts w:hint="eastAsia" w:ascii="仿宋_GB2312" w:hAnsi="仿宋_GB2312" w:eastAsia="仿宋_GB2312" w:cs="仿宋_GB2312"/>
          <w:color w:val="auto"/>
          <w:sz w:val="32"/>
          <w:szCs w:val="32"/>
          <w:u w:val="none"/>
        </w:rPr>
        <w:t>万元。</w:t>
      </w:r>
    </w:p>
    <w:p>
      <w:pPr>
        <w:spacing w:line="560" w:lineRule="exact"/>
        <w:ind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二</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本年其他资金收入1</w:t>
      </w:r>
      <w:r>
        <w:rPr>
          <w:rFonts w:hint="eastAsia" w:ascii="仿宋_GB2312" w:hAnsi="仿宋_GB2312" w:eastAsia="仿宋_GB2312" w:cs="仿宋_GB2312"/>
          <w:color w:val="auto"/>
          <w:sz w:val="32"/>
          <w:szCs w:val="32"/>
          <w:u w:val="none"/>
          <w:lang w:val="en-US" w:eastAsia="zh-CN"/>
        </w:rPr>
        <w:t>86.2</w:t>
      </w:r>
      <w:r>
        <w:rPr>
          <w:rFonts w:hint="eastAsia" w:ascii="仿宋_GB2312" w:hAnsi="仿宋_GB2312" w:eastAsia="仿宋_GB2312" w:cs="仿宋_GB2312"/>
          <w:color w:val="auto"/>
          <w:sz w:val="32"/>
          <w:szCs w:val="32"/>
          <w:u w:val="none"/>
          <w:lang w:eastAsia="zh-CN"/>
        </w:rPr>
        <w:t>万元</w:t>
      </w:r>
    </w:p>
    <w:p>
      <w:pPr>
        <w:numPr>
          <w:ilvl w:val="0"/>
          <w:numId w:val="0"/>
        </w:numPr>
        <w:spacing w:line="560" w:lineRule="exact"/>
        <w:ind w:firstLine="640" w:firstLineChars="200"/>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4.财政专户管理资金收入</w:t>
      </w:r>
      <w:r>
        <w:rPr>
          <w:rFonts w:hint="eastAsia" w:ascii="仿宋_GB2312" w:hAnsi="仿宋_GB2312" w:eastAsia="仿宋_GB2312" w:cs="仿宋_GB2312"/>
          <w:color w:val="auto"/>
          <w:sz w:val="32"/>
          <w:szCs w:val="32"/>
          <w:u w:val="none"/>
          <w:lang w:eastAsia="zh-CN"/>
        </w:rPr>
        <w:t>0</w:t>
      </w:r>
      <w:r>
        <w:rPr>
          <w:rFonts w:hint="eastAsia" w:ascii="仿宋_GB2312" w:hAnsi="仿宋_GB2312" w:eastAsia="仿宋_GB2312" w:cs="仿宋_GB2312"/>
          <w:color w:val="auto"/>
          <w:sz w:val="32"/>
          <w:szCs w:val="32"/>
          <w:u w:val="none"/>
        </w:rPr>
        <w:t>万元。</w:t>
      </w:r>
    </w:p>
    <w:p>
      <w:pPr>
        <w:numPr>
          <w:ilvl w:val="0"/>
          <w:numId w:val="0"/>
        </w:numPr>
        <w:spacing w:line="560" w:lineRule="exact"/>
        <w:ind w:firstLine="640" w:firstLineChars="200"/>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5.事业收入</w:t>
      </w:r>
      <w:r>
        <w:rPr>
          <w:rFonts w:hint="eastAsia" w:ascii="仿宋_GB2312" w:hAnsi="仿宋_GB2312" w:eastAsia="仿宋_GB2312" w:cs="仿宋_GB2312"/>
          <w:color w:val="auto"/>
          <w:sz w:val="32"/>
          <w:szCs w:val="32"/>
          <w:u w:val="none"/>
          <w:lang w:eastAsia="zh-CN"/>
        </w:rPr>
        <w:t>0</w:t>
      </w:r>
      <w:r>
        <w:rPr>
          <w:rFonts w:hint="eastAsia" w:ascii="仿宋_GB2312" w:hAnsi="仿宋_GB2312" w:eastAsia="仿宋_GB2312" w:cs="仿宋_GB2312"/>
          <w:color w:val="auto"/>
          <w:sz w:val="32"/>
          <w:szCs w:val="32"/>
          <w:u w:val="none"/>
        </w:rPr>
        <w:t>万元。</w:t>
      </w:r>
    </w:p>
    <w:p>
      <w:pPr>
        <w:numPr>
          <w:ilvl w:val="0"/>
          <w:numId w:val="0"/>
        </w:numPr>
        <w:spacing w:line="560" w:lineRule="exact"/>
        <w:ind w:firstLine="640" w:firstLineChars="200"/>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6.上级补助收入</w:t>
      </w:r>
      <w:r>
        <w:rPr>
          <w:rFonts w:hint="eastAsia" w:ascii="仿宋_GB2312" w:hAnsi="仿宋_GB2312" w:eastAsia="仿宋_GB2312" w:cs="仿宋_GB2312"/>
          <w:color w:val="auto"/>
          <w:sz w:val="32"/>
          <w:szCs w:val="32"/>
          <w:u w:val="none"/>
          <w:lang w:eastAsia="zh-CN"/>
        </w:rPr>
        <w:t>0</w:t>
      </w:r>
      <w:r>
        <w:rPr>
          <w:rFonts w:hint="eastAsia" w:ascii="仿宋_GB2312" w:hAnsi="仿宋_GB2312" w:eastAsia="仿宋_GB2312" w:cs="仿宋_GB2312"/>
          <w:color w:val="auto"/>
          <w:sz w:val="32"/>
          <w:szCs w:val="32"/>
          <w:u w:val="none"/>
        </w:rPr>
        <w:t>万元。</w:t>
      </w:r>
    </w:p>
    <w:p>
      <w:pPr>
        <w:numPr>
          <w:ilvl w:val="0"/>
          <w:numId w:val="0"/>
        </w:numPr>
        <w:spacing w:line="560" w:lineRule="exact"/>
        <w:ind w:firstLine="640" w:firstLineChars="200"/>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7.附属单位上缴收入</w:t>
      </w:r>
      <w:r>
        <w:rPr>
          <w:rFonts w:hint="eastAsia" w:ascii="仿宋_GB2312" w:hAnsi="仿宋_GB2312" w:eastAsia="仿宋_GB2312" w:cs="仿宋_GB2312"/>
          <w:color w:val="auto"/>
          <w:sz w:val="32"/>
          <w:szCs w:val="32"/>
          <w:u w:val="none"/>
          <w:lang w:eastAsia="zh-CN"/>
        </w:rPr>
        <w:t>0</w:t>
      </w:r>
      <w:r>
        <w:rPr>
          <w:rFonts w:hint="eastAsia" w:ascii="仿宋_GB2312" w:hAnsi="仿宋_GB2312" w:eastAsia="仿宋_GB2312" w:cs="仿宋_GB2312"/>
          <w:color w:val="auto"/>
          <w:sz w:val="32"/>
          <w:szCs w:val="32"/>
          <w:u w:val="none"/>
        </w:rPr>
        <w:t>万元。</w:t>
      </w:r>
    </w:p>
    <w:p>
      <w:pPr>
        <w:numPr>
          <w:ilvl w:val="0"/>
          <w:numId w:val="0"/>
        </w:numPr>
        <w:spacing w:line="560" w:lineRule="exact"/>
        <w:ind w:firstLine="640" w:firstLineChars="200"/>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8.事业单位经营收入</w:t>
      </w:r>
      <w:r>
        <w:rPr>
          <w:rFonts w:hint="eastAsia" w:ascii="仿宋_GB2312" w:hAnsi="仿宋_GB2312" w:eastAsia="仿宋_GB2312" w:cs="仿宋_GB2312"/>
          <w:color w:val="auto"/>
          <w:sz w:val="32"/>
          <w:szCs w:val="32"/>
          <w:u w:val="none"/>
          <w:lang w:eastAsia="zh-CN"/>
        </w:rPr>
        <w:t>0</w:t>
      </w:r>
      <w:r>
        <w:rPr>
          <w:rFonts w:hint="eastAsia" w:ascii="仿宋_GB2312" w:hAnsi="仿宋_GB2312" w:eastAsia="仿宋_GB2312" w:cs="仿宋_GB2312"/>
          <w:color w:val="auto"/>
          <w:sz w:val="32"/>
          <w:szCs w:val="32"/>
          <w:u w:val="none"/>
        </w:rPr>
        <w:t>万元。</w:t>
      </w:r>
    </w:p>
    <w:p>
      <w:pPr>
        <w:numPr>
          <w:ilvl w:val="0"/>
          <w:numId w:val="0"/>
        </w:numPr>
        <w:spacing w:line="560" w:lineRule="exact"/>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9.其他收入</w:t>
      </w:r>
      <w:r>
        <w:rPr>
          <w:rFonts w:hint="eastAsia" w:ascii="仿宋_GB2312" w:hAnsi="仿宋_GB2312" w:eastAsia="仿宋_GB2312" w:cs="仿宋_GB2312"/>
          <w:color w:val="auto"/>
          <w:sz w:val="32"/>
          <w:szCs w:val="32"/>
          <w:u w:val="none"/>
          <w:lang w:eastAsia="zh-CN"/>
        </w:rPr>
        <w:t>1</w:t>
      </w:r>
      <w:r>
        <w:rPr>
          <w:rFonts w:hint="eastAsia" w:ascii="仿宋_GB2312" w:hAnsi="仿宋_GB2312" w:eastAsia="仿宋_GB2312" w:cs="仿宋_GB2312"/>
          <w:color w:val="auto"/>
          <w:sz w:val="32"/>
          <w:szCs w:val="32"/>
          <w:u w:val="none"/>
          <w:lang w:val="en-US" w:eastAsia="zh-CN"/>
        </w:rPr>
        <w:t>86.2</w:t>
      </w:r>
      <w:r>
        <w:rPr>
          <w:rFonts w:hint="eastAsia" w:ascii="仿宋_GB2312" w:hAnsi="仿宋_GB2312" w:eastAsia="仿宋_GB2312" w:cs="仿宋_GB2312"/>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7</w:t>
      </w:r>
      <w:r>
        <w:rPr>
          <w:rFonts w:hint="eastAsia" w:ascii="楷体_GB2312" w:eastAsia="楷体_GB2312" w:cs="Droid Sans"/>
          <w:color w:val="auto"/>
          <w:sz w:val="32"/>
          <w:szCs w:val="32"/>
          <w:u w:val="none"/>
          <w:lang w:val="en-US" w:eastAsia="zh-CN"/>
        </w:rPr>
        <w:t>72.63</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7</w:t>
      </w:r>
      <w:r>
        <w:rPr>
          <w:rFonts w:hint="eastAsia" w:ascii="仿宋_GB2312" w:eastAsia="仿宋_GB2312" w:cs="Droid Sans"/>
          <w:color w:val="auto"/>
          <w:sz w:val="32"/>
          <w:szCs w:val="32"/>
          <w:u w:val="none"/>
          <w:lang w:val="en-US" w:eastAsia="zh-CN"/>
        </w:rPr>
        <w:t>72.63</w:t>
      </w:r>
      <w:r>
        <w:rPr>
          <w:rFonts w:hint="eastAsia" w:ascii="仿宋_GB2312" w:eastAsia="仿宋_GB2312" w:cs="Droid Sans"/>
          <w:color w:val="auto"/>
          <w:sz w:val="32"/>
          <w:szCs w:val="32"/>
          <w:u w:val="none"/>
        </w:rPr>
        <w:t>万元。</w:t>
      </w:r>
    </w:p>
    <w:p>
      <w:pPr>
        <w:pStyle w:val="3"/>
        <w:jc w:val="center"/>
        <w:rPr>
          <w:u w:val="none"/>
        </w:rPr>
      </w:pPr>
      <w:r>
        <w:drawing>
          <wp:inline distT="0" distB="0" distL="114300" distR="114300">
            <wp:extent cx="4572000" cy="2743200"/>
            <wp:effectExtent l="4445" t="4445" r="14605" b="14605"/>
            <wp:docPr id="2"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3"/>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highlight w:val="yellow"/>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9</w:t>
      </w:r>
      <w:r>
        <w:rPr>
          <w:rFonts w:hint="eastAsia" w:ascii="仿宋_GB2312" w:eastAsia="仿宋_GB2312"/>
          <w:color w:val="auto"/>
          <w:sz w:val="32"/>
          <w:szCs w:val="32"/>
          <w:u w:val="none"/>
          <w:lang w:val="en-US" w:eastAsia="zh-CN"/>
        </w:rPr>
        <w:t>339.8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s="Droid Sans"/>
          <w:sz w:val="32"/>
          <w:szCs w:val="32"/>
        </w:rPr>
        <w:t>7948.17</w:t>
      </w:r>
      <w:r>
        <w:rPr>
          <w:rFonts w:hint="eastAsia" w:ascii="仿宋_GB2312" w:eastAsia="仿宋_GB2312"/>
          <w:color w:val="auto"/>
          <w:sz w:val="32"/>
          <w:szCs w:val="32"/>
          <w:u w:val="none"/>
        </w:rPr>
        <w:t>万元增加</w:t>
      </w:r>
      <w:r>
        <w:rPr>
          <w:rFonts w:hint="eastAsia" w:ascii="仿宋_GB2312" w:hAnsi="Calibri" w:eastAsia="仿宋_GB2312" w:cs="Times New Roman"/>
          <w:sz w:val="32"/>
          <w:szCs w:val="32"/>
          <w:lang w:val="en-US" w:eastAsia="zh-CN"/>
        </w:rPr>
        <w:t>1391.63</w:t>
      </w:r>
      <w:r>
        <w:rPr>
          <w:rFonts w:hint="eastAsia" w:ascii="仿宋_GB2312" w:hAnsi="Calibri" w:eastAsia="仿宋_GB2312" w:cs="Times New Roman"/>
          <w:sz w:val="32"/>
          <w:szCs w:val="32"/>
        </w:rPr>
        <w:t>万元</w:t>
      </w:r>
      <w:r>
        <w:rPr>
          <w:rFonts w:hint="eastAsia" w:ascii="仿宋_GB2312" w:eastAsia="仿宋_GB2312"/>
          <w:color w:val="auto"/>
          <w:sz w:val="32"/>
          <w:szCs w:val="32"/>
          <w:u w:val="none"/>
          <w:lang w:eastAsia="zh-CN"/>
        </w:rPr>
        <w:t>，</w:t>
      </w:r>
      <w:r>
        <w:rPr>
          <w:rFonts w:hint="eastAsia" w:ascii="仿宋_GB2312" w:hAnsi="Calibri" w:eastAsia="仿宋_GB2312" w:cs="Times New Roman"/>
          <w:sz w:val="32"/>
          <w:szCs w:val="32"/>
        </w:rPr>
        <w:t>增长</w:t>
      </w:r>
      <w:r>
        <w:rPr>
          <w:rFonts w:hint="eastAsia" w:ascii="仿宋_GB2312" w:hAnsi="Calibri" w:eastAsia="仿宋_GB2312" w:cs="Times New Roman"/>
          <w:sz w:val="32"/>
          <w:szCs w:val="32"/>
          <w:lang w:val="en-US" w:eastAsia="zh-CN"/>
        </w:rPr>
        <w:t>17.51</w:t>
      </w:r>
      <w:r>
        <w:rPr>
          <w:rFonts w:hint="eastAsia" w:ascii="仿宋_GB2312" w:hAnsi="Calibri" w:eastAsia="仿宋_GB2312" w:cs="Times New Roman"/>
          <w:sz w:val="32"/>
          <w:szCs w:val="32"/>
        </w:rPr>
        <w:t>%</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hAnsi="Calibri" w:eastAsia="仿宋_GB2312" w:cs="Times New Roman"/>
          <w:sz w:val="32"/>
          <w:szCs w:val="32"/>
          <w:lang w:val="en-US" w:eastAsia="zh-CN"/>
        </w:rPr>
        <w:t>增加乡村振兴农业科技项目任务。</w:t>
      </w:r>
    </w:p>
    <w:p>
      <w:pPr>
        <w:spacing w:line="560" w:lineRule="exact"/>
        <w:ind w:firstLine="640" w:firstLineChars="20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5072.93</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54.32</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hAnsi="仿宋_GB2312" w:eastAsia="仿宋_GB2312" w:cs="仿宋_GB2312"/>
          <w:sz w:val="32"/>
          <w:szCs w:val="32"/>
        </w:rPr>
        <w:t>5010.28</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2.65</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.25</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266.87</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hAnsi="仿宋_GB2312" w:eastAsia="仿宋_GB2312" w:cs="仿宋_GB2312"/>
          <w:color w:val="000000"/>
          <w:sz w:val="32"/>
          <w:szCs w:val="32"/>
        </w:rPr>
        <w:t>2937.89</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328.98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5.24</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pStyle w:val="2"/>
        <w:rPr>
          <w:rFonts w:hint="eastAsia"/>
        </w:rPr>
      </w:pPr>
      <w:r>
        <w:drawing>
          <wp:inline distT="0" distB="0" distL="114300" distR="114300">
            <wp:extent cx="4572000" cy="2743200"/>
            <wp:effectExtent l="4445" t="4445" r="14605" b="14605"/>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3"/>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北京市农业技术推广站</w:t>
      </w:r>
      <w:r>
        <w:rPr>
          <w:rFonts w:hint="eastAsia" w:ascii="仿宋_GB2312" w:eastAsia="仿宋_GB2312"/>
          <w:color w:val="auto"/>
          <w:sz w:val="32"/>
          <w:szCs w:val="32"/>
          <w:u w:val="none"/>
        </w:rPr>
        <w:t>因公出国（境）费用、公务接待费、公务用车购置和运行维护费开支包括</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个所属单位。</w:t>
      </w:r>
      <w:r>
        <w:rPr>
          <w:rFonts w:hint="eastAsia" w:ascii="仿宋_GB2312" w:eastAsia="仿宋_GB2312"/>
          <w:color w:val="auto"/>
          <w:sz w:val="32"/>
          <w:szCs w:val="32"/>
          <w:u w:val="none"/>
          <w:lang w:val="en-US" w:eastAsia="zh-CN"/>
        </w:rPr>
        <w:t xml:space="preserve"> </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9.68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财政拨款“三公”经费预算增加</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9.68</w:t>
      </w:r>
      <w:r>
        <w:rPr>
          <w:rFonts w:hint="eastAsia" w:ascii="仿宋_GB2312" w:eastAsia="仿宋_GB2312"/>
          <w:color w:val="auto"/>
          <w:sz w:val="32"/>
          <w:szCs w:val="32"/>
          <w:u w:val="none"/>
        </w:rPr>
        <w:t>万元。其中：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5.6</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5.6</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val="en-US" w:eastAsia="zh-CN"/>
        </w:rPr>
        <w:t>因工作需要</w:t>
      </w:r>
      <w:r>
        <w:rPr>
          <w:rFonts w:hint="eastAsia" w:ascii="仿宋_GB2312" w:eastAsia="仿宋_GB2312"/>
          <w:color w:val="auto"/>
          <w:sz w:val="32"/>
          <w:szCs w:val="32"/>
          <w:u w:val="none"/>
        </w:rPr>
        <w:t>开展设施农业，生物育种和智慧农业等技术合作与交流。</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持平</w:t>
      </w:r>
      <w:r>
        <w:rPr>
          <w:rFonts w:hint="eastAsia" w:ascii="仿宋_GB2312" w:eastAsia="仿宋_GB2312"/>
          <w:color w:val="auto"/>
          <w:sz w:val="32"/>
          <w:szCs w:val="32"/>
          <w:u w:val="none"/>
          <w:lang w:eastAsia="zh-CN"/>
        </w:rPr>
        <w:t>。</w:t>
      </w:r>
    </w:p>
    <w:p>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4.08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4.08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4.08</w:t>
      </w:r>
      <w:r>
        <w:rPr>
          <w:rFonts w:hint="eastAsia" w:ascii="仿宋_GB2312" w:eastAsia="仿宋_GB2312"/>
          <w:color w:val="auto"/>
          <w:sz w:val="32"/>
          <w:szCs w:val="32"/>
          <w:u w:val="none"/>
        </w:rPr>
        <w:t>万元，主要原因：更新公务车1辆，满足业务工作用车需要，以保障单位业务工作正常开展；公务用车运行维护费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持平</w:t>
      </w:r>
      <w:r>
        <w:rPr>
          <w:rFonts w:hint="eastAsia" w:ascii="仿宋_GB2312" w:eastAsia="仿宋_GB2312"/>
          <w:color w:val="auto"/>
          <w:sz w:val="32"/>
          <w:szCs w:val="32"/>
          <w:u w:val="none"/>
        </w:rPr>
        <w:t>。</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lang w:val="en-US" w:eastAsia="zh-CN"/>
        </w:rPr>
        <w:t>北京市农业技术推广站</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70.92</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68.37</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02.55</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lang w:eastAsia="zh-CN"/>
        </w:rPr>
        <w:t>本单位2025年无政府购买服务预算</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ind w:firstLine="6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年北京市农业技术推广站无机关运行经费。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sz w:val="32"/>
          <w:szCs w:val="32"/>
        </w:rPr>
        <w:t>北京市农业技术推广站</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770.88</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000000"/>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sz w:val="32"/>
          <w:szCs w:val="32"/>
        </w:rPr>
        <w:t>北京市农业技术推广站</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11</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214.5</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14</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8156.91</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2025年预算安排中，购置单位价值50万元以上的设备0台（套），共计0万元。</w:t>
      </w:r>
    </w:p>
    <w:p>
      <w:pPr>
        <w:numPr>
          <w:ilvl w:val="0"/>
          <w:numId w:val="3"/>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pPr>
        <w:numPr>
          <w:ilvl w:val="0"/>
          <w:numId w:val="0"/>
        </w:num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val="en-US" w:eastAsia="zh-CN"/>
        </w:rPr>
        <w:t>北京市农业技术推广站</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0000000000000000000"/>
    <w:charset w:val="86"/>
    <w:family w:val="auto"/>
    <w:pitch w:val="default"/>
    <w:sig w:usb0="00000000" w:usb1="00000000" w:usb2="00000000" w:usb3="00000000" w:csb0="00000000" w:csb1="00000000"/>
  </w:font>
  <w:font w:name="宋体">
    <w:altName w:val="方正书宋_GBK"/>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00"/>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Droid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M6p&#10;ebnPAAAABQEAAA8AAAAAAAAAAQAgAAAAOAAAAGRycy9kb3ducmV2LnhtbFBLAQIUABQAAAAIAIdO&#10;4kA37HO53QEAAL4DAAAOAAAAAAAAAAEAIAAAADQBAABkcnMvZTJvRG9jLnhtbFBLBQYAAAAABgAG&#10;AFkBAACDBQAAAAA=&#10;">
              <v:fill on="f" focussize="0,0"/>
              <v:stroke on="f"/>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6"/>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970DA0"/>
    <w:multiLevelType w:val="singleLevel"/>
    <w:tmpl w:val="F1970DA0"/>
    <w:lvl w:ilvl="0" w:tentative="0">
      <w:start w:val="6"/>
      <w:numFmt w:val="chineseCounting"/>
      <w:suff w:val="nothing"/>
      <w:lvlText w:val="%1、"/>
      <w:lvlJc w:val="left"/>
      <w:rPr>
        <w:rFonts w:hint="eastAsia"/>
      </w:rPr>
    </w:lvl>
  </w:abstractNum>
  <w:abstractNum w:abstractNumId="1">
    <w:nsid w:val="FF2E9D19"/>
    <w:multiLevelType w:val="singleLevel"/>
    <w:tmpl w:val="FF2E9D19"/>
    <w:lvl w:ilvl="0" w:tentative="0">
      <w:start w:val="3"/>
      <w:numFmt w:val="chineseCounting"/>
      <w:suff w:val="nothing"/>
      <w:lvlText w:val="（%1）"/>
      <w:lvlJc w:val="left"/>
      <w:rPr>
        <w:rFonts w:hint="eastAsia"/>
      </w:rPr>
    </w:lvl>
  </w:abstractNum>
  <w:abstractNum w:abstractNumId="2">
    <w:nsid w:val="7DF45870"/>
    <w:multiLevelType w:val="singleLevel"/>
    <w:tmpl w:val="7DF45870"/>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F79"/>
    <w:rsid w:val="0032325C"/>
    <w:rsid w:val="006F3CD8"/>
    <w:rsid w:val="008A2E8D"/>
    <w:rsid w:val="009F505C"/>
    <w:rsid w:val="01DE318D"/>
    <w:rsid w:val="04BC1DB3"/>
    <w:rsid w:val="08FBF7E4"/>
    <w:rsid w:val="0EFFF08B"/>
    <w:rsid w:val="12CA5764"/>
    <w:rsid w:val="149E2716"/>
    <w:rsid w:val="1556FFE7"/>
    <w:rsid w:val="16DC02AC"/>
    <w:rsid w:val="1B3A4C01"/>
    <w:rsid w:val="1D7B2BEA"/>
    <w:rsid w:val="1DC92A3F"/>
    <w:rsid w:val="1E2F585A"/>
    <w:rsid w:val="1F08178F"/>
    <w:rsid w:val="1FB9016F"/>
    <w:rsid w:val="1FE6D21C"/>
    <w:rsid w:val="2083704F"/>
    <w:rsid w:val="20DE7A8E"/>
    <w:rsid w:val="218E7730"/>
    <w:rsid w:val="23735A5C"/>
    <w:rsid w:val="271311A7"/>
    <w:rsid w:val="2F731B75"/>
    <w:rsid w:val="2F7EA178"/>
    <w:rsid w:val="2FEFCACA"/>
    <w:rsid w:val="2FF31CCC"/>
    <w:rsid w:val="322B1044"/>
    <w:rsid w:val="33BF5DDC"/>
    <w:rsid w:val="37BFBFEE"/>
    <w:rsid w:val="37FD2E23"/>
    <w:rsid w:val="3AEE7FDD"/>
    <w:rsid w:val="3B1D5808"/>
    <w:rsid w:val="3B2C10B4"/>
    <w:rsid w:val="3BFE8EC0"/>
    <w:rsid w:val="3D3B750B"/>
    <w:rsid w:val="3DFB85D7"/>
    <w:rsid w:val="3DFFFEEB"/>
    <w:rsid w:val="3E578A4D"/>
    <w:rsid w:val="3E7746F2"/>
    <w:rsid w:val="3EAFE38B"/>
    <w:rsid w:val="3EFB023F"/>
    <w:rsid w:val="3F5B7215"/>
    <w:rsid w:val="3F6FC1FB"/>
    <w:rsid w:val="3F730350"/>
    <w:rsid w:val="3F76647A"/>
    <w:rsid w:val="3F7D5AD8"/>
    <w:rsid w:val="3FBA30DB"/>
    <w:rsid w:val="3FBFE16E"/>
    <w:rsid w:val="3FF7F9C0"/>
    <w:rsid w:val="3FFBC816"/>
    <w:rsid w:val="467A6A07"/>
    <w:rsid w:val="48D44964"/>
    <w:rsid w:val="4CD68066"/>
    <w:rsid w:val="4E67CE40"/>
    <w:rsid w:val="4F6D150F"/>
    <w:rsid w:val="4FEE37C7"/>
    <w:rsid w:val="4FFB9147"/>
    <w:rsid w:val="517E78AA"/>
    <w:rsid w:val="53DF3E7F"/>
    <w:rsid w:val="545DF6FA"/>
    <w:rsid w:val="55DE48F6"/>
    <w:rsid w:val="57ADBE82"/>
    <w:rsid w:val="57E332DD"/>
    <w:rsid w:val="57E9CD93"/>
    <w:rsid w:val="57EB425A"/>
    <w:rsid w:val="58012C54"/>
    <w:rsid w:val="59D7A30C"/>
    <w:rsid w:val="5BEE7D82"/>
    <w:rsid w:val="5BFC36A8"/>
    <w:rsid w:val="5F5F35ED"/>
    <w:rsid w:val="5FB4B9F0"/>
    <w:rsid w:val="5FBA6CF8"/>
    <w:rsid w:val="5FD532B6"/>
    <w:rsid w:val="5FE95128"/>
    <w:rsid w:val="5FF3352E"/>
    <w:rsid w:val="5FF879D6"/>
    <w:rsid w:val="5FFFD6B5"/>
    <w:rsid w:val="67BF653D"/>
    <w:rsid w:val="67FBD21B"/>
    <w:rsid w:val="69CDDFC6"/>
    <w:rsid w:val="6AFBD4E9"/>
    <w:rsid w:val="6B0B3FEA"/>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6AF6"/>
    <w:rsid w:val="767FBCC8"/>
    <w:rsid w:val="76FE24ED"/>
    <w:rsid w:val="7761680E"/>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spacing w:after="120"/>
      <w:ind w:left="1440" w:leftChars="700" w:right="1440" w:rightChars="700"/>
      <w:jc w:val="left"/>
    </w:pPr>
  </w:style>
  <w:style w:type="paragraph" w:styleId="4">
    <w:name w:val="Date"/>
    <w:basedOn w:val="1"/>
    <w:next w:val="1"/>
    <w:qFormat/>
    <w:uiPriority w:val="0"/>
    <w:rPr>
      <w:rFonts w:eastAsia="楷体_GB2312" w:cs="Droid Sans"/>
      <w:sz w:val="32"/>
      <w:szCs w:val="20"/>
      <w:lang w:bidi="ar-SA"/>
    </w:rPr>
  </w:style>
  <w:style w:type="paragraph" w:styleId="5">
    <w:name w:val="Balloon Text"/>
    <w:basedOn w:val="1"/>
    <w:link w:val="11"/>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20"/>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批注框文本 Char"/>
    <w:link w:val="5"/>
    <w:qFormat/>
    <w:uiPriority w:val="0"/>
    <w:rPr>
      <w:rFonts w:ascii="Times New Roman" w:hAnsi="Times New Roman"/>
      <w:kern w:val="2"/>
      <w:sz w:val="18"/>
      <w:szCs w:val="18"/>
    </w:rPr>
  </w:style>
  <w:style w:type="character" w:customStyle="1" w:styleId="12">
    <w:name w:val="页眉 Char"/>
    <w:link w:val="7"/>
    <w:qFormat/>
    <w:uiPriority w:val="0"/>
    <w:rPr>
      <w:rFonts w:ascii="Times New Roman" w:hAnsi="Times New Roman"/>
      <w:kern w:val="2"/>
      <w:sz w:val="18"/>
      <w:szCs w:val="18"/>
    </w:rPr>
  </w:style>
  <w:style w:type="character" w:customStyle="1" w:styleId="13">
    <w:name w:val="页脚 Char"/>
    <w:link w:val="6"/>
    <w:qFormat/>
    <w:uiPriority w:val="99"/>
    <w:rPr>
      <w:rFonts w:ascii="Times New Roman" w:hAnsi="Times New Roman"/>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t>收入预算</a:t>
            </a:r>
          </a:p>
        </c:rich>
      </c:tx>
      <c:layout/>
      <c:overlay val="0"/>
      <c:spPr>
        <a:noFill/>
        <a:ln>
          <a:noFill/>
        </a:ln>
        <a:effectLst/>
      </c:spPr>
    </c:title>
    <c:autoTitleDeleted val="0"/>
    <c:plotArea>
      <c:layout/>
      <c:pieChart>
        <c:varyColors val="1"/>
        <c:ser>
          <c:idx val="0"/>
          <c:order val="0"/>
          <c:spPr/>
          <c:explosion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[工作簿1]Sheet1!$E$3:$E$5</c:f>
              <c:strCache>
                <c:ptCount val="3"/>
                <c:pt idx="0">
                  <c:v>一般公共预算拨款收入</c:v>
                </c:pt>
                <c:pt idx="1">
                  <c:v>其他收入</c:v>
                </c:pt>
                <c:pt idx="2">
                  <c:v>上年结转结余</c:v>
                </c:pt>
              </c:strCache>
            </c:strRef>
          </c:cat>
          <c:val>
            <c:numRef>
              <c:f>[工作簿1]Sheet1!$F$3:$F$5</c:f>
            </c:numRef>
          </c:val>
        </c:ser>
        <c:ser>
          <c:idx val="1"/>
          <c:order val="1"/>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[工作簿1]Sheet1!$E$3:$E$5</c:f>
              <c:strCache>
                <c:ptCount val="3"/>
                <c:pt idx="0">
                  <c:v>一般公共预算拨款收入</c:v>
                </c:pt>
                <c:pt idx="1">
                  <c:v>其他收入</c:v>
                </c:pt>
                <c:pt idx="2">
                  <c:v>上年结转结余</c:v>
                </c:pt>
              </c:strCache>
            </c:strRef>
          </c:cat>
          <c:val>
            <c:numRef>
              <c:f>[工作簿1]Sheet1!$G$3:$G$5</c:f>
              <c:numCache>
                <c:formatCode>0.00%</c:formatCode>
                <c:ptCount val="3"/>
                <c:pt idx="0">
                  <c:v>0.897339343454892</c:v>
                </c:pt>
                <c:pt idx="1">
                  <c:v>0.0199361870703869</c:v>
                </c:pt>
                <c:pt idx="2">
                  <c:v>0.0827244694747211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支出预算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[工作簿1]Sheet1!$D$3:$D$4</c:f>
              <c:strCache>
                <c:ptCount val="2"/>
                <c:pt idx="0">
                  <c:v>基本支出</c:v>
                </c:pt>
                <c:pt idx="1">
                  <c:v>项目支出</c:v>
                </c:pt>
              </c:strCache>
            </c:strRef>
          </c:cat>
          <c:val>
            <c:numRef>
              <c:f>[工作簿1]Sheet1!$E$3:$E$4</c:f>
              <c:numCache>
                <c:formatCode>0.00%</c:formatCode>
                <c:ptCount val="2"/>
                <c:pt idx="0">
                  <c:v>0.5432</c:v>
                </c:pt>
                <c:pt idx="1">
                  <c:v>0.4568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2292</Words>
  <Characters>13069</Characters>
  <Lines>108</Lines>
  <Paragraphs>30</Paragraphs>
  <TotalTime>1</TotalTime>
  <ScaleCrop>false</ScaleCrop>
  <LinksUpToDate>false</LinksUpToDate>
  <CharactersWithSpaces>15331</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2022-02-10T09:48:00Z</dcterms:created>
  <dc:creator>马荣丽</dc:creator>
  <cp:lastModifiedBy>user</cp:lastModifiedBy>
  <cp:lastPrinted>2025-02-25T09:07:00Z</cp:lastPrinted>
  <dcterms:modified xsi:type="dcterms:W3CDTF">2025-03-06T12:19:31Z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BD18CBCE778FBC28FA28BA6547FDD7CF</vt:lpwstr>
  </property>
</Properties>
</file>