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rPr>
          <w:rFonts w:ascii="黑体" w:eastAsia="黑体"/>
          <w:sz w:val="72"/>
          <w:szCs w:val="72"/>
        </w:rPr>
      </w:pPr>
    </w:p>
    <w:p>
      <w:pPr>
        <w:jc w:val="center"/>
        <w:rPr>
          <w:rFonts w:ascii="黑体" w:eastAsia="黑体"/>
          <w:sz w:val="72"/>
          <w:szCs w:val="72"/>
        </w:rPr>
      </w:pPr>
    </w:p>
    <w:p>
      <w:pPr>
        <w:jc w:val="center"/>
        <w:rPr>
          <w:rFonts w:ascii="黑体" w:hAnsi="黑体" w:eastAsia="黑体" w:cs="黑体"/>
          <w:sz w:val="72"/>
          <w:szCs w:val="72"/>
        </w:rPr>
      </w:pPr>
      <w:r>
        <w:rPr>
          <w:rFonts w:hint="eastAsia" w:ascii="黑体" w:hAnsi="黑体" w:eastAsia="黑体" w:cs="黑体"/>
          <w:sz w:val="72"/>
          <w:szCs w:val="72"/>
        </w:rPr>
        <w:t>中共北京市委农村工作委员会</w:t>
      </w:r>
    </w:p>
    <w:p>
      <w:pPr>
        <w:jc w:val="center"/>
        <w:rPr>
          <w:rFonts w:ascii="黑体" w:hAnsi="黑体" w:eastAsia="黑体" w:cs="黑体"/>
          <w:sz w:val="72"/>
          <w:szCs w:val="72"/>
        </w:rPr>
      </w:pPr>
      <w:r>
        <w:rPr>
          <w:rFonts w:hint="eastAsia" w:ascii="黑体" w:hAnsi="黑体" w:eastAsia="黑体" w:cs="黑体"/>
          <w:sz w:val="72"/>
          <w:szCs w:val="72"/>
        </w:rPr>
        <w:t>北京市农业农村局财务核算中心</w:t>
      </w:r>
    </w:p>
    <w:p>
      <w:pPr>
        <w:jc w:val="center"/>
        <w:rPr>
          <w:rFonts w:ascii="黑体" w:eastAsia="黑体"/>
          <w:sz w:val="72"/>
          <w:szCs w:val="72"/>
        </w:rPr>
      </w:pPr>
      <w:r>
        <w:rPr>
          <w:rFonts w:hint="eastAsia" w:ascii="黑体" w:eastAsia="黑体"/>
          <w:sz w:val="72"/>
          <w:szCs w:val="72"/>
        </w:rPr>
        <w:t>2023年度部门决算公开</w:t>
      </w:r>
    </w:p>
    <w:p>
      <w:pPr>
        <w:pStyle w:val="2"/>
        <w:ind w:firstLine="1440"/>
        <w:rPr>
          <w:rFonts w:ascii="黑体" w:eastAsia="黑体"/>
          <w:sz w:val="72"/>
          <w:szCs w:val="72"/>
        </w:rPr>
      </w:pPr>
    </w:p>
    <w:p>
      <w:pPr>
        <w:pStyle w:val="2"/>
        <w:ind w:firstLine="420"/>
        <w:jc w:val="center"/>
      </w:pPr>
    </w:p>
    <w:p>
      <w:pPr>
        <w:jc w:val="center"/>
        <w:rPr>
          <w:rFonts w:ascii="黑体" w:eastAsia="黑体"/>
          <w:sz w:val="52"/>
          <w:szCs w:val="52"/>
        </w:rPr>
      </w:pPr>
    </w:p>
    <w:p>
      <w:pPr>
        <w:rPr>
          <w:rFonts w:ascii="黑体" w:eastAsia="黑体"/>
          <w:sz w:val="32"/>
          <w:szCs w:val="32"/>
        </w:rPr>
      </w:pPr>
    </w:p>
    <w:p>
      <w:pPr>
        <w:pStyle w:val="2"/>
        <w:ind w:firstLine="420"/>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51"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ind w:firstLine="493" w:firstLineChars="176"/>
      </w:pPr>
      <w:r>
        <w:rPr>
          <w:rFonts w:hint="eastAsia" w:ascii="仿宋_GB2312" w:hAnsi="仿宋_GB2312" w:eastAsia="仿宋_GB2312" w:cs="仿宋_GB2312"/>
          <w:sz w:val="28"/>
          <w:szCs w:val="28"/>
        </w:rPr>
        <w:t>根据《中共北京市委机构编制委员会关于市委农工委、市农业农村局所属事业单位改革有关事项的批复》(京编委[2021]128号)，同意整合北京市农业农村局财务服务中心以及有关事业单位财务工作相关职能，组建中共北京市委农村工作委员会北京市农业农村局财务核算中心。主要职责是：承担市委农工委、市农业农村局机关及所属单位财务管理、会计核算、资产管理、审计和绩效考评等事务性工作</w:t>
      </w:r>
      <w:r>
        <w:rPr>
          <w:rFonts w:hint="eastAsia" w:ascii="仿宋_GB2312" w:hAnsi="仿宋_GB2312" w:eastAsia="仿宋_GB2312" w:cs="仿宋_GB2312"/>
          <w:sz w:val="32"/>
          <w:szCs w:val="32"/>
        </w:rPr>
        <w:t>。</w:t>
      </w:r>
      <w:r>
        <w:rPr>
          <w:rFonts w:hint="eastAsia" w:ascii="仿宋_GB2312" w:hAnsi="仿宋_GB2312" w:eastAsia="仿宋_GB2312" w:cs="仿宋_GB2312"/>
          <w:sz w:val="28"/>
          <w:szCs w:val="28"/>
        </w:rPr>
        <w:t>内设机构7个，分别为：办公室、会计1科、会计2科、资产管理和政府采购科、预算绩效科、审计科和项目管理科。</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行政编制0人，实有人数0人；事业编制40</w:t>
      </w:r>
      <w:r>
        <w:rPr>
          <w:rFonts w:hint="eastAsia" w:ascii="仿宋_GB2312" w:eastAsia="仿宋_GB2312"/>
          <w:kern w:val="0"/>
          <w:sz w:val="28"/>
          <w:szCs w:val="28"/>
        </w:rPr>
        <w:tab/>
      </w:r>
      <w:r>
        <w:rPr>
          <w:rFonts w:hint="eastAsia" w:ascii="仿宋_GB2312" w:eastAsia="仿宋_GB2312"/>
          <w:kern w:val="0"/>
          <w:sz w:val="28"/>
          <w:szCs w:val="28"/>
        </w:rPr>
        <w:t>人，实有人数31人。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2724.03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107.27万元，增长4.10%。</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1076.39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130.75万元，增长13.83%。</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1055.86</w:t>
      </w:r>
      <w:r>
        <w:rPr>
          <w:rFonts w:hint="eastAsia" w:ascii="仿宋_GB2312" w:eastAsia="仿宋_GB2312"/>
          <w:sz w:val="28"/>
          <w:szCs w:val="28"/>
        </w:rPr>
        <w:t>万元，占收入合计的</w:t>
      </w:r>
      <w:r>
        <w:rPr>
          <w:rFonts w:ascii="仿宋_GB2312" w:eastAsia="仿宋_GB2312"/>
          <w:sz w:val="28"/>
          <w:szCs w:val="28"/>
        </w:rPr>
        <w:t>98.09</w:t>
      </w:r>
      <w:r>
        <w:rPr>
          <w:rFonts w:hint="eastAsia" w:ascii="仿宋_GB2312" w:eastAsia="仿宋_GB2312"/>
          <w:sz w:val="28"/>
          <w:szCs w:val="28"/>
        </w:rPr>
        <w:t>%。其中：一般公共预算财政拨款收入</w:t>
      </w:r>
      <w:r>
        <w:rPr>
          <w:rFonts w:ascii="仿宋_GB2312" w:eastAsia="仿宋_GB2312"/>
          <w:sz w:val="28"/>
          <w:szCs w:val="28"/>
        </w:rPr>
        <w:t>1055.86</w:t>
      </w:r>
      <w:r>
        <w:rPr>
          <w:rFonts w:hint="eastAsia" w:ascii="仿宋_GB2312" w:eastAsia="仿宋_GB2312"/>
          <w:sz w:val="28"/>
          <w:szCs w:val="28"/>
        </w:rPr>
        <w:t>万元，占收入合计的</w:t>
      </w:r>
      <w:r>
        <w:rPr>
          <w:rFonts w:ascii="仿宋_GB2312" w:eastAsia="仿宋_GB2312"/>
          <w:sz w:val="28"/>
          <w:szCs w:val="28"/>
        </w:rPr>
        <w:t>98.09</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cs="Droid Sans"/>
          <w:color w:val="000000"/>
          <w:sz w:val="32"/>
          <w:szCs w:val="32"/>
        </w:rPr>
      </w:pPr>
      <w:r>
        <w:rPr>
          <w:rFonts w:hint="eastAsia" w:ascii="仿宋_GB2312" w:eastAsia="仿宋_GB2312"/>
          <w:sz w:val="28"/>
          <w:szCs w:val="28"/>
        </w:rPr>
        <w:t>6.其他收入</w:t>
      </w:r>
      <w:r>
        <w:rPr>
          <w:rFonts w:ascii="仿宋_GB2312" w:eastAsia="仿宋_GB2312"/>
          <w:sz w:val="28"/>
          <w:szCs w:val="28"/>
        </w:rPr>
        <w:t>20.53</w:t>
      </w:r>
      <w:r>
        <w:rPr>
          <w:rFonts w:hint="eastAsia" w:ascii="仿宋_GB2312" w:eastAsia="仿宋_GB2312"/>
          <w:sz w:val="28"/>
          <w:szCs w:val="28"/>
        </w:rPr>
        <w:t>万元，占收入合计的</w:t>
      </w:r>
      <w:r>
        <w:rPr>
          <w:rFonts w:ascii="仿宋_GB2312" w:eastAsia="仿宋_GB2312"/>
          <w:sz w:val="28"/>
          <w:szCs w:val="28"/>
        </w:rPr>
        <w:t>1.9</w:t>
      </w:r>
      <w:r>
        <w:rPr>
          <w:rFonts w:hint="eastAsia" w:ascii="仿宋_GB2312" w:eastAsia="仿宋_GB2312"/>
          <w:sz w:val="28"/>
          <w:szCs w:val="28"/>
        </w:rPr>
        <w:t>%。</w:t>
      </w:r>
    </w:p>
    <w:p>
      <w:pPr>
        <w:pStyle w:val="3"/>
        <w:jc w:val="center"/>
        <w:rPr>
          <w:rFonts w:ascii="仿宋_GB2312" w:hAnsi="Times New Roman" w:eastAsia="仿宋_GB2312"/>
          <w:color w:val="000000"/>
          <w:kern w:val="2"/>
          <w:sz w:val="32"/>
          <w:szCs w:val="24"/>
        </w:rPr>
      </w:pPr>
      <w:r>
        <w:rPr>
          <w:rFonts w:hint="eastAsia" w:ascii="仿宋_GB2312" w:hAnsi="Times New Roman" w:eastAsia="仿宋_GB2312"/>
          <w:color w:val="000000"/>
          <w:kern w:val="2"/>
          <w:sz w:val="32"/>
          <w:szCs w:val="24"/>
        </w:rPr>
        <w:t>图1：收入决算</w:t>
      </w:r>
    </w:p>
    <w:p>
      <w:pPr>
        <w:jc w:val="center"/>
      </w:pPr>
      <w:r>
        <w:rPr>
          <w:rFonts w:hint="eastAsia"/>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2"/>
        <w:ind w:firstLine="420"/>
        <w:jc w:val="cente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1089.46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175.78万元，增长19.24%，其中：基本支出</w:t>
      </w:r>
      <w:r>
        <w:rPr>
          <w:rFonts w:ascii="仿宋_GB2312" w:eastAsia="仿宋_GB2312"/>
          <w:sz w:val="28"/>
          <w:szCs w:val="28"/>
        </w:rPr>
        <w:t>991.57</w:t>
      </w:r>
      <w:r>
        <w:rPr>
          <w:rFonts w:hint="eastAsia" w:ascii="仿宋_GB2312" w:eastAsia="仿宋_GB2312"/>
          <w:sz w:val="28"/>
          <w:szCs w:val="28"/>
        </w:rPr>
        <w:t>万元，占支出合计的</w:t>
      </w:r>
      <w:r>
        <w:rPr>
          <w:rFonts w:ascii="仿宋_GB2312" w:eastAsia="仿宋_GB2312"/>
          <w:sz w:val="28"/>
          <w:szCs w:val="28"/>
        </w:rPr>
        <w:t>91.01</w:t>
      </w:r>
      <w:r>
        <w:rPr>
          <w:rFonts w:hint="eastAsia" w:ascii="仿宋_GB2312" w:eastAsia="仿宋_GB2312"/>
          <w:sz w:val="28"/>
          <w:szCs w:val="28"/>
        </w:rPr>
        <w:t>%；项目支出</w:t>
      </w:r>
      <w:r>
        <w:rPr>
          <w:rFonts w:ascii="仿宋_GB2312" w:eastAsia="仿宋_GB2312"/>
          <w:sz w:val="28"/>
          <w:szCs w:val="28"/>
        </w:rPr>
        <w:t>97.89</w:t>
      </w:r>
      <w:r>
        <w:rPr>
          <w:rFonts w:hint="eastAsia" w:ascii="仿宋_GB2312" w:eastAsia="仿宋_GB2312"/>
          <w:sz w:val="28"/>
          <w:szCs w:val="28"/>
        </w:rPr>
        <w:t>万元，占支出合计的</w:t>
      </w:r>
      <w:r>
        <w:rPr>
          <w:rFonts w:ascii="仿宋_GB2312" w:eastAsia="仿宋_GB2312"/>
          <w:sz w:val="28"/>
          <w:szCs w:val="28"/>
        </w:rPr>
        <w:t>8.98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jc w:val="center"/>
        <w:rPr>
          <w:rFonts w:ascii="仿宋_GB2312" w:eastAsia="仿宋_GB2312"/>
          <w:b/>
          <w:bCs/>
          <w:color w:val="000000"/>
          <w:sz w:val="32"/>
        </w:rPr>
      </w:pPr>
      <w:r>
        <w:rPr>
          <w:rFonts w:hint="eastAsia" w:ascii="仿宋_GB2312" w:eastAsia="仿宋_GB2312"/>
          <w:b/>
          <w:bCs/>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51"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1055.86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231.31万元，增长28.05%。主要原因：2023年度有新入职员工，导致相应人员经费与公用经费增加。</w:t>
      </w:r>
    </w:p>
    <w:p>
      <w:pPr>
        <w:tabs>
          <w:tab w:val="center" w:pos="6979"/>
        </w:tabs>
        <w:spacing w:line="580" w:lineRule="exact"/>
        <w:ind w:firstLine="551"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975.49</w:t>
      </w:r>
      <w:r>
        <w:rPr>
          <w:rFonts w:hint="eastAsia" w:ascii="仿宋_GB2312" w:eastAsia="仿宋_GB2312"/>
          <w:sz w:val="28"/>
          <w:szCs w:val="28"/>
        </w:rPr>
        <w:t>万元，主要用于以下方面：教育支出2.27万元，占本年财政拨款支出0.23%；社会保障和就业支出119.27万元，占本年财政拨款支出12.23%；卫生健康支出67.13万元，占本年财政拨款支出6.88%；农林水支出786.82万元，占本年财政拨款支出80.66%。</w:t>
      </w:r>
    </w:p>
    <w:p>
      <w:pPr>
        <w:numPr>
          <w:ilvl w:val="0"/>
          <w:numId w:val="1"/>
        </w:num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1、“教育支出”2023年度决算2.27万元，比2023年度年初预算减少0.26万元，下降10.11%。其中：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“进修及培训”2023年度决算2.27万元，比2023年度年初预算减少0.26万元，下降10.11%。主要原因：落实厉行勤俭节约要求，严格控制培训规模。</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2、“社会保障和就业支出”2023年度决算119.27万元，比2023年度年初预算减少15.12万元，下降11.25%。其中：</w:t>
      </w:r>
    </w:p>
    <w:p>
      <w:pPr>
        <w:spacing w:line="580" w:lineRule="exact"/>
        <w:ind w:firstLine="560" w:firstLineChars="200"/>
      </w:pPr>
      <w:r>
        <w:rPr>
          <w:rFonts w:hint="eastAsia" w:ascii="仿宋_GB2312" w:eastAsia="仿宋_GB2312"/>
          <w:sz w:val="28"/>
          <w:szCs w:val="28"/>
        </w:rPr>
        <w:t>“行政事业单位养老支出”2023年度决算119.27万元，比2023年度年初预算减少15.12万元，下降11.25%。主要原因：2023年度有在职人员退休，单位上缴的保险费用相应减少。</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3、“卫生健康支出”2023年度决算67.13万元，比2023年度年初预算减少14.00万元，下降17.26%。其中：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“行政事业单位医疗”2023年度决算67.13万元，比2023年度年初预算减少14.00万元，下降17.26%。主要原因：2023年度有在职人员退休，单位上缴的保险费用相应减少。</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4、“农林水支出”2023年度决算786.82万元，比2023年度年初预算减少51.00万元，下降6.09%。其中：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“农业农村”2023年度决算786.82万元，比2023年度年初预算减少51.00万元，下降6.09%。主要原因：落实政府过紧日子要求，压减“三公”经费等基本支出。</w:t>
      </w:r>
    </w:p>
    <w:p>
      <w:pPr>
        <w:spacing w:line="580" w:lineRule="exact"/>
        <w:ind w:firstLine="562"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493" w:firstLineChars="176"/>
        <w:rPr>
          <w:rFonts w:ascii="仿宋_GB2312" w:eastAsia="仿宋_GB2312"/>
          <w:sz w:val="28"/>
          <w:szCs w:val="28"/>
        </w:rPr>
      </w:pPr>
      <w:r>
        <w:rPr>
          <w:rFonts w:hint="eastAsia" w:ascii="仿宋_GB2312" w:eastAsia="仿宋_GB2312"/>
          <w:sz w:val="28"/>
          <w:szCs w:val="28"/>
        </w:rPr>
        <w:t>本单位无此项支出。</w:t>
      </w:r>
    </w:p>
    <w:p>
      <w:pPr>
        <w:spacing w:line="580" w:lineRule="exact"/>
        <w:ind w:firstLine="562"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8"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51"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9"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947.27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w:t>
      </w:r>
      <w:r>
        <w:rPr>
          <w:rFonts w:hint="eastAsia" w:ascii="仿宋_GB2312" w:eastAsia="仿宋_GB2312"/>
          <w:sz w:val="28"/>
          <w:szCs w:val="28"/>
        </w:rPr>
        <w:t>咨询费、</w:t>
      </w:r>
      <w:r>
        <w:rPr>
          <w:rFonts w:ascii="仿宋_GB2312" w:eastAsia="仿宋_GB2312"/>
          <w:sz w:val="28"/>
          <w:szCs w:val="28"/>
        </w:rPr>
        <w:t>邮电费、差旅费、维修（护）费、培训费、专用材料费、委托业务费、工会经费、福利费、公务用车运行维护费、其他交通费、其他商品和服务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rPr>
        <w:t>0</w:t>
      </w:r>
      <w:r>
        <w:rPr>
          <w:rFonts w:hint="eastAsia" w:ascii="仿宋_GB2312" w:eastAsia="仿宋_GB2312"/>
          <w:sz w:val="28"/>
          <w:szCs w:val="28"/>
        </w:rPr>
        <w:t>个行政单位、0个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rPr>
        <w:t>0个</w:t>
      </w:r>
      <w:r>
        <w:rPr>
          <w:rFonts w:hint="eastAsia" w:ascii="仿宋_GB2312" w:eastAsia="仿宋_GB2312"/>
          <w:sz w:val="28"/>
          <w:szCs w:val="28"/>
        </w:rPr>
        <w:t>事业单位。2023年度“三公”经费财政拨款决算数</w:t>
      </w:r>
      <w:r>
        <w:rPr>
          <w:rFonts w:ascii="仿宋_GB2312" w:eastAsia="仿宋_GB2312"/>
          <w:sz w:val="28"/>
          <w:szCs w:val="28"/>
        </w:rPr>
        <w:t>1.94</w:t>
      </w:r>
      <w:r>
        <w:rPr>
          <w:rFonts w:hint="eastAsia" w:ascii="仿宋_GB2312" w:eastAsia="仿宋_GB2312"/>
          <w:sz w:val="28"/>
          <w:szCs w:val="28"/>
        </w:rPr>
        <w:t>万元，比2023年度“三公”经费财政拨款年初预算</w:t>
      </w:r>
      <w:r>
        <w:rPr>
          <w:rFonts w:ascii="仿宋_GB2312" w:eastAsia="仿宋_GB2312"/>
          <w:sz w:val="28"/>
          <w:szCs w:val="28"/>
        </w:rPr>
        <w:t>7.91</w:t>
      </w:r>
      <w:r>
        <w:rPr>
          <w:rFonts w:hint="eastAsia" w:ascii="仿宋_GB2312" w:eastAsia="仿宋_GB2312"/>
          <w:sz w:val="28"/>
          <w:szCs w:val="28"/>
        </w:rPr>
        <w:t>万元减少</w:t>
      </w:r>
      <w:r>
        <w:rPr>
          <w:rFonts w:ascii="仿宋_GB2312" w:eastAsia="仿宋_GB2312"/>
          <w:sz w:val="28"/>
          <w:szCs w:val="28"/>
        </w:rPr>
        <w:t>5.97</w:t>
      </w:r>
      <w:r>
        <w:rPr>
          <w:rFonts w:hint="eastAsia" w:ascii="仿宋_GB2312" w:eastAsia="仿宋_GB2312"/>
          <w:sz w:val="28"/>
          <w:szCs w:val="28"/>
        </w:rPr>
        <w:t>万元。其中：</w:t>
      </w:r>
    </w:p>
    <w:p>
      <w:pPr>
        <w:spacing w:line="560" w:lineRule="exact"/>
        <w:ind w:firstLine="493" w:firstLineChars="176"/>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w:t>
      </w:r>
      <w:r>
        <w:rPr>
          <w:rFonts w:hint="eastAsia" w:ascii="仿宋_GB2312" w:eastAsia="仿宋_GB2312"/>
          <w:sz w:val="28"/>
          <w:szCs w:val="28"/>
        </w:rPr>
        <w:t>万元，与2023年度年初预算数持平。2023年度组织因公出国（境）团组0个、0人次，人均因公出国（境）费用0万元。</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0.41</w:t>
      </w:r>
      <w:r>
        <w:rPr>
          <w:rFonts w:hint="eastAsia" w:ascii="仿宋_GB2312" w:eastAsia="仿宋_GB2312"/>
          <w:sz w:val="28"/>
          <w:szCs w:val="28"/>
        </w:rPr>
        <w:t>万元减少</w:t>
      </w:r>
      <w:r>
        <w:rPr>
          <w:rFonts w:ascii="仿宋_GB2312" w:eastAsia="仿宋_GB2312"/>
          <w:sz w:val="28"/>
          <w:szCs w:val="28"/>
        </w:rPr>
        <w:t>0.41</w:t>
      </w:r>
      <w:r>
        <w:rPr>
          <w:rFonts w:hint="eastAsia" w:ascii="仿宋_GB2312" w:eastAsia="仿宋_GB2312"/>
          <w:sz w:val="28"/>
          <w:szCs w:val="28"/>
        </w:rPr>
        <w:t>万元。主要原因：落实厉行勤俭节约要求，本年度未发生公务接待。</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3.公务用车购置及运行维护费。2023年度决算数1.94万元，比2023年度年初预算数7.50万元减少5.56万元。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万元，与2023年度年初预算数持平。公务用车运行维护费2023年度决算数</w:t>
      </w:r>
      <w:r>
        <w:rPr>
          <w:rFonts w:ascii="仿宋_GB2312" w:eastAsia="仿宋_GB2312"/>
          <w:sz w:val="28"/>
          <w:szCs w:val="28"/>
        </w:rPr>
        <w:t>1.94</w:t>
      </w:r>
      <w:r>
        <w:rPr>
          <w:rFonts w:hint="eastAsia" w:ascii="仿宋_GB2312" w:eastAsia="仿宋_GB2312"/>
          <w:sz w:val="28"/>
          <w:szCs w:val="28"/>
        </w:rPr>
        <w:t>万元，比2023年度年初预算数7.50万元减少5.56万元，主要原因：落实厉行勤俭节约要求，严控公务用车运行维护费。2023年度公务用车运行维护费中，公务用车加油</w:t>
      </w:r>
      <w:r>
        <w:rPr>
          <w:rFonts w:ascii="仿宋_GB2312" w:eastAsia="仿宋_GB2312"/>
          <w:sz w:val="28"/>
          <w:szCs w:val="28"/>
        </w:rPr>
        <w:t>0.6</w:t>
      </w:r>
      <w:r>
        <w:rPr>
          <w:rFonts w:hint="eastAsia" w:ascii="仿宋_GB2312" w:eastAsia="仿宋_GB2312"/>
          <w:sz w:val="28"/>
          <w:szCs w:val="28"/>
        </w:rPr>
        <w:t>万元，公务用车维修</w:t>
      </w:r>
      <w:r>
        <w:rPr>
          <w:rFonts w:ascii="仿宋_GB2312" w:eastAsia="仿宋_GB2312"/>
          <w:sz w:val="28"/>
          <w:szCs w:val="28"/>
        </w:rPr>
        <w:t>0.24</w:t>
      </w:r>
      <w:r>
        <w:rPr>
          <w:rFonts w:hint="eastAsia" w:ascii="仿宋_GB2312" w:eastAsia="仿宋_GB2312"/>
          <w:sz w:val="28"/>
          <w:szCs w:val="28"/>
        </w:rPr>
        <w:t>万元，公务用车保险</w:t>
      </w:r>
      <w:r>
        <w:rPr>
          <w:rFonts w:ascii="仿宋_GB2312" w:eastAsia="仿宋_GB2312"/>
          <w:sz w:val="28"/>
          <w:szCs w:val="28"/>
        </w:rPr>
        <w:t>0.52</w:t>
      </w:r>
      <w:r>
        <w:rPr>
          <w:rFonts w:hint="eastAsia" w:ascii="仿宋_GB2312" w:eastAsia="仿宋_GB2312"/>
          <w:sz w:val="28"/>
          <w:szCs w:val="28"/>
        </w:rPr>
        <w:t>万元，公务用车其他支出</w:t>
      </w:r>
      <w:r>
        <w:rPr>
          <w:rFonts w:ascii="仿宋_GB2312" w:eastAsia="仿宋_GB2312"/>
          <w:sz w:val="28"/>
          <w:szCs w:val="28"/>
        </w:rPr>
        <w:t>0.58</w:t>
      </w:r>
      <w:r>
        <w:rPr>
          <w:rFonts w:hint="eastAsia" w:ascii="仿宋_GB2312" w:eastAsia="仿宋_GB2312"/>
          <w:sz w:val="28"/>
          <w:szCs w:val="28"/>
        </w:rPr>
        <w:t>万元。2023年度公务用车保有量4辆，车均运行维护费0.49万元。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493" w:firstLineChars="176"/>
        <w:rPr>
          <w:rFonts w:ascii="仿宋_GB2312" w:eastAsia="仿宋_GB2312"/>
          <w:sz w:val="28"/>
          <w:szCs w:val="28"/>
        </w:rPr>
      </w:pPr>
      <w:r>
        <w:rPr>
          <w:rFonts w:hint="eastAsia" w:ascii="仿宋_GB2312" w:eastAsia="仿宋_GB2312"/>
          <w:sz w:val="28"/>
          <w:szCs w:val="28"/>
          <w:lang w:val="en-US" w:eastAsia="zh-CN"/>
        </w:rPr>
        <w:t>本</w:t>
      </w:r>
      <w:r>
        <w:rPr>
          <w:rFonts w:hint="eastAsia" w:ascii="仿宋_GB2312" w:eastAsia="仿宋_GB2312"/>
          <w:sz w:val="28"/>
          <w:szCs w:val="28"/>
        </w:rPr>
        <w:t>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8"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10.2</w:t>
      </w:r>
      <w:r>
        <w:rPr>
          <w:rFonts w:hint="eastAsia" w:ascii="仿宋_GB2312" w:eastAsia="仿宋_GB2312"/>
          <w:sz w:val="28"/>
          <w:szCs w:val="28"/>
        </w:rPr>
        <w:t>万元，其中：政府采购货物支出</w:t>
      </w:r>
      <w:r>
        <w:rPr>
          <w:rFonts w:ascii="仿宋_GB2312" w:eastAsia="仿宋_GB2312"/>
          <w:sz w:val="28"/>
          <w:szCs w:val="28"/>
        </w:rPr>
        <w:t>7.94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2.26</w:t>
      </w:r>
      <w:r>
        <w:rPr>
          <w:rFonts w:hint="eastAsia" w:ascii="仿宋_GB2312" w:eastAsia="仿宋_GB2312"/>
          <w:sz w:val="28"/>
          <w:szCs w:val="28"/>
        </w:rPr>
        <w:t>万元。授予中小企业合同金额</w:t>
      </w:r>
      <w:r>
        <w:rPr>
          <w:rFonts w:ascii="仿宋_GB2312" w:eastAsia="仿宋_GB2312"/>
          <w:sz w:val="28"/>
          <w:szCs w:val="28"/>
        </w:rPr>
        <w:t>8.78</w:t>
      </w:r>
      <w:r>
        <w:rPr>
          <w:rFonts w:hint="eastAsia" w:ascii="仿宋_GB2312" w:eastAsia="仿宋_GB2312"/>
          <w:sz w:val="28"/>
          <w:szCs w:val="28"/>
        </w:rPr>
        <w:t>万元，占政府采购支出总额的</w:t>
      </w:r>
      <w:r>
        <w:rPr>
          <w:rFonts w:ascii="仿宋_GB2312" w:eastAsia="仿宋_GB2312"/>
          <w:sz w:val="28"/>
          <w:szCs w:val="28"/>
        </w:rPr>
        <w:t>86.05</w:t>
      </w:r>
      <w:r>
        <w:rPr>
          <w:rFonts w:hint="eastAsia" w:ascii="仿宋_GB2312" w:eastAsia="仿宋_GB2312"/>
          <w:sz w:val="28"/>
          <w:szCs w:val="28"/>
        </w:rPr>
        <w:t>%，其中：授予小微企业合同金额</w:t>
      </w:r>
      <w:r>
        <w:rPr>
          <w:rFonts w:ascii="仿宋_GB2312" w:eastAsia="仿宋_GB2312"/>
          <w:sz w:val="28"/>
          <w:szCs w:val="28"/>
        </w:rPr>
        <w:t>8.78</w:t>
      </w:r>
      <w:r>
        <w:rPr>
          <w:rFonts w:hint="eastAsia" w:ascii="仿宋_GB2312" w:eastAsia="仿宋_GB2312"/>
          <w:sz w:val="28"/>
          <w:szCs w:val="28"/>
        </w:rPr>
        <w:t>万元，占政府采购支出总额的</w:t>
      </w:r>
      <w:r>
        <w:rPr>
          <w:rFonts w:ascii="仿宋_GB2312" w:eastAsia="仿宋_GB2312"/>
          <w:sz w:val="28"/>
          <w:szCs w:val="28"/>
        </w:rPr>
        <w:t>86.05</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2023年度新购置车辆0台，共计0万元；新购置单位价值100万元（含）以上的设备0台（套），共计0万元。截至12月31日，本单位共有车辆6台，共计162.69万元；单位价值100万元（含）以上的设备0台（套），共计0万元。</w:t>
      </w:r>
    </w:p>
    <w:p>
      <w:pPr>
        <w:ind w:firstLine="538"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ascii="仿宋_GB2312" w:eastAsia="仿宋_GB2312"/>
          <w:sz w:val="28"/>
          <w:szCs w:val="28"/>
        </w:rPr>
      </w:pPr>
      <w:r>
        <w:rPr>
          <w:rFonts w:hint="eastAsia" w:ascii="仿宋_GB2312" w:eastAsia="仿宋_GB2312"/>
          <w:sz w:val="28"/>
          <w:szCs w:val="28"/>
        </w:rPr>
        <w:t>本年度无此项支出。</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 xml:space="preserve"> 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 xml:space="preserve"> 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93" w:firstLineChars="176"/>
        <w:rPr>
          <w:rFonts w:ascii="仿宋_GB2312" w:eastAsia="仿宋_GB2312"/>
          <w:sz w:val="28"/>
          <w:szCs w:val="28"/>
        </w:rPr>
      </w:pPr>
      <w:r>
        <w:rPr>
          <w:rFonts w:hint="eastAsia" w:ascii="仿宋_GB2312" w:eastAsia="仿宋_GB2312"/>
          <w:sz w:val="28"/>
          <w:szCs w:val="28"/>
        </w:rPr>
        <w:t xml:space="preserve"> 7.教育支出（类）进修及培训（款）培训支出（项）：反映各部门安排的用于培训的支出。</w:t>
      </w:r>
    </w:p>
    <w:p>
      <w:pPr>
        <w:ind w:firstLine="493" w:firstLineChars="176"/>
        <w:rPr>
          <w:rFonts w:ascii="仿宋_GB2312" w:eastAsia="仿宋_GB2312"/>
          <w:sz w:val="28"/>
          <w:szCs w:val="28"/>
        </w:rPr>
      </w:pPr>
      <w:r>
        <w:rPr>
          <w:rFonts w:hint="eastAsia" w:ascii="仿宋_GB2312" w:eastAsia="仿宋_GB2312"/>
          <w:sz w:val="28"/>
          <w:szCs w:val="28"/>
        </w:rPr>
        <w:t xml:space="preserve"> 8.社会保障和就业支出（类）行政事业单位养老支出（款）事业单位离退休（项）：反映事业单位开支的离退休经费。</w:t>
      </w:r>
    </w:p>
    <w:p>
      <w:pPr>
        <w:pStyle w:val="2"/>
        <w:ind w:firstLine="560"/>
        <w:rPr>
          <w:rFonts w:ascii="仿宋_GB2312" w:eastAsia="仿宋_GB2312"/>
          <w:sz w:val="28"/>
          <w:szCs w:val="28"/>
        </w:rPr>
      </w:pPr>
      <w:r>
        <w:rPr>
          <w:rFonts w:hint="eastAsia" w:ascii="仿宋_GB2312" w:eastAsia="仿宋_GB2312"/>
          <w:sz w:val="28"/>
          <w:szCs w:val="28"/>
        </w:rPr>
        <w:t xml:space="preserve"> 9.社会保障和就业支出（类）行政事业单位养老支出（款）机关事业单位基本养老保险缴费支出（项）：反映机关事业单位实施养老保险制度由单位缴纳的基本养老保险费支出。</w:t>
      </w:r>
    </w:p>
    <w:p>
      <w:pPr>
        <w:pStyle w:val="2"/>
        <w:ind w:firstLine="560"/>
        <w:rPr>
          <w:rFonts w:ascii="仿宋_GB2312" w:eastAsia="仿宋_GB2312"/>
          <w:sz w:val="28"/>
          <w:szCs w:val="28"/>
        </w:rPr>
      </w:pPr>
      <w:r>
        <w:rPr>
          <w:rFonts w:hint="eastAsia" w:ascii="仿宋_GB2312" w:eastAsia="仿宋_GB2312"/>
          <w:sz w:val="28"/>
          <w:szCs w:val="28"/>
        </w:rPr>
        <w:t xml:space="preserve"> 10.社会保障和就业支出（类）行政事业单位养老支出（款）机关事业单位职业年金缴费支出（项）：反映机关事业单位实施养老保险制度由单位缴纳的职业年金支出。</w:t>
      </w:r>
    </w:p>
    <w:p>
      <w:pPr>
        <w:pStyle w:val="2"/>
        <w:ind w:firstLine="560"/>
        <w:rPr>
          <w:rFonts w:ascii="仿宋_GB2312" w:eastAsia="仿宋_GB2312"/>
          <w:sz w:val="28"/>
          <w:szCs w:val="28"/>
        </w:rPr>
      </w:pPr>
      <w:r>
        <w:rPr>
          <w:rFonts w:hint="eastAsia" w:ascii="仿宋_GB2312" w:eastAsia="仿宋_GB2312"/>
          <w:sz w:val="28"/>
          <w:szCs w:val="28"/>
        </w:rPr>
        <w:t xml:space="preserve"> 11.卫生健康支出（类）行政事业单位医疗（款）事业单位医疗（项）：反映财政部门安排的事业单位基本医疗保险缴费经费，未参加医疗保险的事业单位公费医疗经费，按国家规定享受离休人员待遇的医疗经费。</w:t>
      </w:r>
    </w:p>
    <w:p>
      <w:pPr>
        <w:pStyle w:val="2"/>
        <w:ind w:firstLine="560"/>
        <w:rPr>
          <w:rFonts w:ascii="仿宋_GB2312" w:eastAsia="仿宋_GB2312"/>
          <w:sz w:val="28"/>
          <w:szCs w:val="28"/>
        </w:rPr>
      </w:pPr>
      <w:r>
        <w:rPr>
          <w:rFonts w:hint="eastAsia" w:ascii="仿宋_GB2312" w:eastAsia="仿宋_GB2312"/>
          <w:sz w:val="28"/>
          <w:szCs w:val="28"/>
        </w:rPr>
        <w:t xml:space="preserve"> 12.农林水支出（类）农业农村（款）事业运行（项）：反映用于农业事业单位基本支出，事业单位设施、系统运行与资产维护等方面的支出。</w:t>
      </w:r>
    </w:p>
    <w:p>
      <w:pPr>
        <w:pStyle w:val="2"/>
        <w:ind w:firstLine="560"/>
        <w:rPr>
          <w:rFonts w:ascii="仿宋_GB2312" w:eastAsia="仿宋_GB2312"/>
          <w:sz w:val="28"/>
          <w:szCs w:val="28"/>
        </w:rPr>
      </w:pPr>
      <w:r>
        <w:rPr>
          <w:rFonts w:hint="eastAsia" w:ascii="仿宋_GB2312" w:eastAsia="仿宋_GB2312"/>
          <w:sz w:val="28"/>
          <w:szCs w:val="28"/>
        </w:rPr>
        <w:t xml:space="preserve"> 13.农林水支出（类）农业农村（款）其他农业农村支出（项）：反映除上述项目以外其他用于农业农村方面的支出。</w:t>
      </w:r>
    </w:p>
    <w:p>
      <w:pPr>
        <w:rPr>
          <w:rFonts w:ascii="仿宋_GB2312" w:eastAsia="仿宋_GB2312"/>
          <w:sz w:val="28"/>
          <w:szCs w:val="28"/>
        </w:rPr>
      </w:pPr>
    </w:p>
    <w:p>
      <w:pPr>
        <w:pStyle w:val="2"/>
        <w:ind w:firstLine="560"/>
        <w:rPr>
          <w:rFonts w:ascii="仿宋_GB2312" w:eastAsia="仿宋_GB2312"/>
          <w:sz w:val="28"/>
          <w:szCs w:val="28"/>
        </w:rPr>
      </w:pPr>
    </w:p>
    <w:p>
      <w:pPr>
        <w:pStyle w:val="2"/>
        <w:ind w:firstLine="560"/>
        <w:rPr>
          <w:rFonts w:ascii="仿宋_GB2312" w:eastAsia="仿宋_GB2312"/>
          <w:sz w:val="28"/>
          <w:szCs w:val="28"/>
        </w:rPr>
      </w:pPr>
    </w:p>
    <w:p>
      <w:pPr>
        <w:pStyle w:val="2"/>
        <w:ind w:firstLine="560"/>
        <w:rPr>
          <w:rFonts w:ascii="仿宋_GB2312" w:eastAsia="仿宋_GB2312"/>
          <w:sz w:val="28"/>
          <w:szCs w:val="28"/>
        </w:rPr>
      </w:pPr>
    </w:p>
    <w:p>
      <w:pPr>
        <w:pStyle w:val="2"/>
        <w:ind w:firstLine="560"/>
        <w:rPr>
          <w:rFonts w:ascii="仿宋_GB2312" w:eastAsia="仿宋_GB2312"/>
          <w:sz w:val="28"/>
          <w:szCs w:val="28"/>
        </w:rPr>
      </w:pPr>
    </w:p>
    <w:p>
      <w:pPr>
        <w:pStyle w:val="2"/>
        <w:ind w:firstLine="560"/>
        <w:rPr>
          <w:rFonts w:ascii="仿宋_GB2312" w:eastAsia="仿宋_GB2312"/>
          <w:sz w:val="28"/>
          <w:szCs w:val="28"/>
        </w:rPr>
      </w:pPr>
    </w:p>
    <w:p>
      <w:pPr>
        <w:pStyle w:val="2"/>
        <w:ind w:firstLine="560"/>
        <w:rPr>
          <w:rFonts w:ascii="仿宋_GB2312" w:eastAsia="仿宋_GB2312"/>
          <w:sz w:val="28"/>
          <w:szCs w:val="28"/>
        </w:rPr>
      </w:pPr>
    </w:p>
    <w:p>
      <w:pPr>
        <w:ind w:firstLine="634"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bookmarkStart w:id="0" w:name="_GoBack"/>
      <w:bookmarkEnd w:id="0"/>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11</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ECD42"/>
    <w:multiLevelType w:val="singleLevel"/>
    <w:tmpl w:val="665ECD42"/>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0890"/>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2"/>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1661"/>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36F5A"/>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CBE"/>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8574D0"/>
    <w:rsid w:val="079004AC"/>
    <w:rsid w:val="0BA148CA"/>
    <w:rsid w:val="0DD136FE"/>
    <w:rsid w:val="0F8E2C57"/>
    <w:rsid w:val="1059665E"/>
    <w:rsid w:val="10AC13BA"/>
    <w:rsid w:val="1AEC0734"/>
    <w:rsid w:val="1DEF20B0"/>
    <w:rsid w:val="214243FA"/>
    <w:rsid w:val="21AD613C"/>
    <w:rsid w:val="233B30C9"/>
    <w:rsid w:val="257A14F5"/>
    <w:rsid w:val="27196C26"/>
    <w:rsid w:val="29EF086F"/>
    <w:rsid w:val="2EFFE297"/>
    <w:rsid w:val="301437CA"/>
    <w:rsid w:val="349D1F0A"/>
    <w:rsid w:val="34DD0473"/>
    <w:rsid w:val="433E495C"/>
    <w:rsid w:val="4AC27CB3"/>
    <w:rsid w:val="4BF72BEF"/>
    <w:rsid w:val="4FE96483"/>
    <w:rsid w:val="51DB3C59"/>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CDC1FC0"/>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400" b="0" i="0" u="none" strike="noStrike" kern="1200" baseline="0">
                <a:solidFill>
                  <a:schemeClr val="bg1">
                    <a:lumMod val="50000"/>
                  </a:schemeClr>
                </a:solidFill>
                <a:latin typeface="+mn-lt"/>
                <a:ea typeface="+mn-ea"/>
                <a:cs typeface="+mn-cs"/>
              </a:defRPr>
            </a:pPr>
            <a:r>
              <a:rPr lang="en-US" sz="1400" b="0">
                <a:solidFill>
                  <a:schemeClr val="bg1">
                    <a:lumMod val="50000"/>
                  </a:schemeClr>
                </a:solidFill>
              </a:rPr>
              <a:t>收入决算</a:t>
            </a:r>
            <a:endParaRPr lang="en-US" sz="1400" b="0">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formatCode="General">
                  <c:v>1055.86</c:v>
                </c:pt>
                <c:pt idx="1" c:formatCode="General">
                  <c:v>0</c:v>
                </c:pt>
                <c:pt idx="2" c:formatCode="General">
                  <c:v>0</c:v>
                </c:pt>
                <c:pt idx="3" c:formatCode="General">
                  <c:v>0</c:v>
                </c:pt>
                <c:pt idx="4" c:formatCode="General">
                  <c:v>0</c:v>
                </c:pt>
                <c:pt idx="5" c:formatCode="General">
                  <c:v>20.53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delete val="1"/>
      </c:legendEntry>
      <c:legendEntry>
        <c:idx val="2"/>
        <c:delete val="1"/>
      </c:legendEntry>
      <c:legendEntry>
        <c:idx val="3"/>
        <c:delete val="1"/>
      </c:legendEntry>
      <c:legendEntry>
        <c:idx val="4"/>
        <c:delete val="1"/>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00375"/>
                  <c:y val="0.097916666666666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formatCode="General">
                  <c:v>991.57</c:v>
                </c:pt>
                <c:pt idx="1" c:formatCode="General">
                  <c:v>97.89</c:v>
                </c:pt>
                <c:pt idx="2" c:formatCode="General">
                  <c:v>0</c:v>
                </c:pt>
                <c:pt idx="3" c:formatCode="General">
                  <c:v>0</c:v>
                </c:pt>
                <c:pt idx="4" c:formatCode="General">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2"/>
        <c:delete val="1"/>
      </c:legendEntry>
      <c:legendEntry>
        <c:idx val="3"/>
        <c:delete val="1"/>
      </c:legendEntry>
      <c:legendEntry>
        <c:idx val="4"/>
        <c:delete val="1"/>
      </c:legendEntry>
      <c:layout/>
      <c:overlay val="0"/>
      <c:spPr>
        <a:noFill/>
        <a:ln>
          <a:noFill/>
        </a:ln>
        <a:effectLst/>
      </c:spPr>
      <c:txPr>
        <a:bodyPr rot="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13</Pages>
  <Words>684</Words>
  <Characters>3902</Characters>
  <Lines>32</Lines>
  <Paragraphs>9</Paragraphs>
  <TotalTime>0</TotalTime>
  <ScaleCrop>false</ScaleCrop>
  <LinksUpToDate>false</LinksUpToDate>
  <CharactersWithSpaces>4577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Acer</cp:lastModifiedBy>
  <cp:lastPrinted>2020-08-07T11:39:00Z</cp:lastPrinted>
  <dcterms:modified xsi:type="dcterms:W3CDTF">2024-09-03T08:05:57Z</dcterms:modified>
  <dc:title>北京市财政局关于做好向市人大常委会报送2015年度市级部门决算（草案）</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435078ACFECC4A5A8A519EF4C3681114_13</vt:lpwstr>
  </property>
</Properties>
</file>