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5"/>
        <w:gridCol w:w="40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安全修缮类项目（彩钢板房维修改造项目）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中共北京市委农村工作委员会北京市农业农村局综合事务中心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张岩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9.402145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9.382347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99.79%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9.402145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9.382347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99.79%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对委局综合事务中心使用易燃可燃芯材的彩钢板建筑进行整修改造，保障安全使用。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对委局综合事务中心使用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的</w:t>
            </w:r>
            <w:r>
              <w:rPr>
                <w:rFonts w:hint="eastAsia" w:ascii="仿宋_GB2312" w:hAnsi="??" w:eastAsia="仿宋_GB2312"/>
                <w:kern w:val="0"/>
              </w:rPr>
              <w:t>易燃可燃芯材的彩钢板建筑整修改造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彩钢板房修缮面积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=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彩钢板房修缮工期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3"/>
              </w:tabs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1个月内完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安全使用问题解决情况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解决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解决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99.98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spacing w:line="520" w:lineRule="exact"/>
        <w:ind w:firstLine="640" w:firstLineChars="200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 w:cs="方正小标宋简体"/>
          <w:sz w:val="36"/>
          <w:szCs w:val="36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 w:cs="方正小标宋简体"/>
          <w:sz w:val="36"/>
          <w:szCs w:val="36"/>
        </w:rPr>
      </w:pPr>
    </w:p>
    <w:p>
      <w:pPr>
        <w:spacing w:line="520" w:lineRule="exact"/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5883ED0"/>
    <w:rsid w:val="076822F3"/>
    <w:rsid w:val="08C444B1"/>
    <w:rsid w:val="096D48C2"/>
    <w:rsid w:val="0A5C0F35"/>
    <w:rsid w:val="0B50170B"/>
    <w:rsid w:val="111D0893"/>
    <w:rsid w:val="111F6364"/>
    <w:rsid w:val="150703F1"/>
    <w:rsid w:val="16D75BC6"/>
    <w:rsid w:val="1A0C4C78"/>
    <w:rsid w:val="1E646E41"/>
    <w:rsid w:val="22AA3280"/>
    <w:rsid w:val="24E567F1"/>
    <w:rsid w:val="284101E2"/>
    <w:rsid w:val="37173543"/>
    <w:rsid w:val="387A419F"/>
    <w:rsid w:val="3F6820A1"/>
    <w:rsid w:val="3FF76880"/>
    <w:rsid w:val="44564BCD"/>
    <w:rsid w:val="5E1B6804"/>
    <w:rsid w:val="600A6F59"/>
    <w:rsid w:val="69D724A3"/>
    <w:rsid w:val="7AB7FF50"/>
    <w:rsid w:val="7BFEB0DB"/>
    <w:rsid w:val="7D24571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KWON</cp:lastModifiedBy>
  <cp:lastPrinted>2022-03-24T10:01:00Z</cp:lastPrinted>
  <dcterms:modified xsi:type="dcterms:W3CDTF">2024-05-13T09:37:21Z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331C4471D2A84EDE9C8E942D0A8E0019_12</vt:lpwstr>
  </property>
</Properties>
</file>