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 w:cs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??" w:eastAsia="仿宋_GB2312"/>
          <w:sz w:val="28"/>
          <w:szCs w:val="28"/>
        </w:rPr>
      </w:pPr>
      <w:r>
        <w:rPr>
          <w:rFonts w:ascii="仿宋_GB2312" w:eastAsia="仿宋_GB2312" w:cs="仿宋_GB2312"/>
          <w:sz w:val="28"/>
          <w:szCs w:val="28"/>
        </w:rPr>
        <w:t xml:space="preserve">                     </w:t>
      </w:r>
      <w:r>
        <w:rPr>
          <w:rFonts w:ascii="仿宋_GB2312" w:hAnsi="??" w:eastAsia="仿宋_GB2312" w:cs="仿宋_GB2312"/>
          <w:sz w:val="28"/>
          <w:szCs w:val="28"/>
        </w:rPr>
        <w:t xml:space="preserve">    </w:t>
      </w:r>
      <w:r>
        <w:rPr>
          <w:rFonts w:hint="eastAsia" w:ascii="仿宋_GB2312" w:hAnsi="??" w:eastAsia="仿宋_GB2312" w:cs="仿宋_GB2312"/>
          <w:sz w:val="28"/>
          <w:szCs w:val="28"/>
        </w:rPr>
        <w:t>（</w:t>
      </w:r>
      <w:r>
        <w:rPr>
          <w:rFonts w:hint="eastAsia" w:ascii="仿宋_GB2312" w:hAnsi="??" w:eastAsia="仿宋_GB2312" w:cs="仿宋_GB2312"/>
          <w:sz w:val="28"/>
          <w:szCs w:val="28"/>
          <w:lang w:val="en-US" w:eastAsia="zh-CN"/>
        </w:rPr>
        <w:t>2023</w:t>
      </w:r>
      <w:r>
        <w:rPr>
          <w:rFonts w:hint="eastAsia" w:ascii="仿宋_GB2312" w:hAnsi="??" w:eastAsia="仿宋_GB2312" w:cs="仿宋_GB2312"/>
          <w:sz w:val="28"/>
          <w:szCs w:val="28"/>
        </w:rPr>
        <w:t>年度）</w:t>
      </w:r>
    </w:p>
    <w:p>
      <w:pPr>
        <w:spacing w:line="240" w:lineRule="exact"/>
        <w:rPr>
          <w:rFonts w:ascii="仿宋_GB2312" w:hAnsi="??" w:eastAsia="仿宋_GB2312"/>
          <w:sz w:val="30"/>
          <w:szCs w:val="30"/>
        </w:rPr>
      </w:pPr>
    </w:p>
    <w:tbl>
      <w:tblPr>
        <w:tblStyle w:val="6"/>
        <w:tblW w:w="893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665"/>
        <w:gridCol w:w="1167"/>
        <w:gridCol w:w="1127"/>
        <w:gridCol w:w="183"/>
        <w:gridCol w:w="949"/>
        <w:gridCol w:w="848"/>
        <w:gridCol w:w="279"/>
        <w:gridCol w:w="284"/>
        <w:gridCol w:w="274"/>
        <w:gridCol w:w="302"/>
        <w:gridCol w:w="578"/>
        <w:gridCol w:w="71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项目名称</w:t>
            </w:r>
          </w:p>
        </w:tc>
        <w:tc>
          <w:tcPr>
            <w:tcW w:w="7370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种植业保障支撑(粮油作物种植业保障支撑)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/>
                <w:kern w:val="0"/>
                <w:lang w:eastAsia="zh-CN"/>
              </w:rPr>
              <w:t>北京市</w:t>
            </w: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农业</w:t>
            </w:r>
            <w:r>
              <w:rPr>
                <w:rFonts w:hint="eastAsia" w:ascii="仿宋_GB2312" w:hAnsi="??" w:eastAsia="仿宋_GB2312"/>
                <w:kern w:val="0"/>
                <w:lang w:eastAsia="zh-CN"/>
              </w:rPr>
              <w:t>农村局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实施单位</w:t>
            </w:r>
          </w:p>
        </w:tc>
        <w:tc>
          <w:tcPr>
            <w:tcW w:w="215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/>
                <w:kern w:val="0"/>
                <w:lang w:eastAsia="zh-CN"/>
              </w:rPr>
              <w:t>北京市农业技术推广站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项目负责人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/>
                <w:kern w:val="0"/>
                <w:lang w:eastAsia="zh-CN"/>
              </w:rPr>
              <w:t>孟范玉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联系电话</w:t>
            </w:r>
          </w:p>
        </w:tc>
        <w:tc>
          <w:tcPr>
            <w:tcW w:w="215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84635681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项目资金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执行数</w:t>
            </w:r>
          </w:p>
        </w:tc>
        <w:tc>
          <w:tcPr>
            <w:tcW w:w="55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分值</w:t>
            </w:r>
          </w:p>
        </w:tc>
        <w:tc>
          <w:tcPr>
            <w:tcW w:w="8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执行率</w:t>
            </w:r>
          </w:p>
        </w:tc>
        <w:tc>
          <w:tcPr>
            <w:tcW w:w="7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198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188.478140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</w:rPr>
              <w:t>188</w:t>
            </w: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.</w:t>
            </w:r>
            <w:r>
              <w:rPr>
                <w:rFonts w:hint="eastAsia" w:ascii="仿宋_GB2312" w:hAnsi="??" w:eastAsia="仿宋_GB2312"/>
                <w:kern w:val="0"/>
              </w:rPr>
              <w:t>40364</w:t>
            </w: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0</w:t>
            </w:r>
          </w:p>
        </w:tc>
        <w:tc>
          <w:tcPr>
            <w:tcW w:w="55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10</w:t>
            </w:r>
          </w:p>
        </w:tc>
        <w:tc>
          <w:tcPr>
            <w:tcW w:w="8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99.96%</w:t>
            </w:r>
          </w:p>
        </w:tc>
        <w:tc>
          <w:tcPr>
            <w:tcW w:w="7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9.97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198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188.478140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??" w:eastAsia="仿宋_GB2312"/>
                <w:kern w:val="0"/>
              </w:rPr>
              <w:t>188</w:t>
            </w: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.</w:t>
            </w:r>
            <w:r>
              <w:rPr>
                <w:rFonts w:hint="eastAsia" w:ascii="仿宋_GB2312" w:hAnsi="??" w:eastAsia="仿宋_GB2312"/>
                <w:kern w:val="0"/>
              </w:rPr>
              <w:t>40364</w:t>
            </w: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0</w:t>
            </w:r>
          </w:p>
        </w:tc>
        <w:tc>
          <w:tcPr>
            <w:tcW w:w="55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8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99.96%</w:t>
            </w:r>
          </w:p>
        </w:tc>
        <w:tc>
          <w:tcPr>
            <w:tcW w:w="7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 xml:space="preserve">      </w:t>
            </w:r>
            <w:r>
              <w:rPr>
                <w:rFonts w:hint="eastAsia" w:ascii="仿宋_GB2312" w:hAnsi="??" w:eastAsia="仿宋_GB2312" w:cs="仿宋_GB2312"/>
                <w:kern w:val="0"/>
              </w:rPr>
              <w:t>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0</w:t>
            </w:r>
          </w:p>
        </w:tc>
        <w:tc>
          <w:tcPr>
            <w:tcW w:w="55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8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0</w:t>
            </w:r>
          </w:p>
        </w:tc>
        <w:tc>
          <w:tcPr>
            <w:tcW w:w="7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 xml:space="preserve">  </w:t>
            </w:r>
            <w:r>
              <w:rPr>
                <w:rFonts w:hint="eastAsia" w:ascii="仿宋_GB2312" w:hAnsi="??" w:eastAsia="仿宋_GB2312" w:cs="仿宋_GB2312"/>
                <w:kern w:val="0"/>
              </w:rPr>
              <w:t>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0</w:t>
            </w:r>
          </w:p>
        </w:tc>
        <w:tc>
          <w:tcPr>
            <w:tcW w:w="55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8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0</w:t>
            </w:r>
          </w:p>
        </w:tc>
        <w:tc>
          <w:tcPr>
            <w:tcW w:w="7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预期目标</w:t>
            </w:r>
          </w:p>
        </w:tc>
        <w:tc>
          <w:tcPr>
            <w:tcW w:w="327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31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在全市建立各类监测点155个，开展监测 20 次以上，编写指导意见、简报、春耕春管、三夏及三秋等指导意见20期以上，形成粮油作物监测报告1份。 在种植业主产区建设小麦玉米“百千万”示范点 88 个；开展线上线下技术培训1000人次以上，技术指导1000人次以上；服务对象满意度大于等于95%。</w:t>
            </w:r>
          </w:p>
        </w:tc>
        <w:tc>
          <w:tcPr>
            <w:tcW w:w="327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color w:val="auto"/>
                <w:kern w:val="0"/>
              </w:rPr>
              <w:t>在全市建立</w:t>
            </w:r>
            <w:r>
              <w:rPr>
                <w:rFonts w:hint="eastAsia" w:ascii="仿宋_GB2312" w:hAnsi="??" w:eastAsia="仿宋_GB2312"/>
                <w:color w:val="auto"/>
                <w:kern w:val="0"/>
                <w:lang w:eastAsia="zh-CN"/>
              </w:rPr>
              <w:t>了</w:t>
            </w:r>
            <w:r>
              <w:rPr>
                <w:rFonts w:hint="eastAsia" w:ascii="仿宋_GB2312" w:hAnsi="??" w:eastAsia="仿宋_GB2312"/>
                <w:color w:val="auto"/>
                <w:kern w:val="0"/>
              </w:rPr>
              <w:t>各类监测点15</w:t>
            </w:r>
            <w:r>
              <w:rPr>
                <w:rFonts w:hint="eastAsia" w:ascii="仿宋_GB2312" w:hAnsi="??" w:eastAsia="仿宋_GB2312"/>
                <w:color w:val="auto"/>
                <w:kern w:val="0"/>
                <w:lang w:val="en-US" w:eastAsia="zh-CN"/>
              </w:rPr>
              <w:t>6</w:t>
            </w:r>
            <w:r>
              <w:rPr>
                <w:rFonts w:hint="eastAsia" w:ascii="仿宋_GB2312" w:hAnsi="??" w:eastAsia="仿宋_GB2312"/>
                <w:color w:val="auto"/>
                <w:kern w:val="0"/>
              </w:rPr>
              <w:t>个，开展监测</w:t>
            </w:r>
            <w:r>
              <w:rPr>
                <w:rFonts w:hint="eastAsia" w:ascii="仿宋_GB2312" w:hAnsi="??" w:eastAsia="仿宋_GB2312"/>
                <w:color w:val="auto"/>
                <w:kern w:val="0"/>
                <w:lang w:val="en-US" w:eastAsia="zh-CN"/>
              </w:rPr>
              <w:t>38</w:t>
            </w:r>
            <w:r>
              <w:rPr>
                <w:rFonts w:hint="eastAsia" w:ascii="仿宋_GB2312" w:hAnsi="??" w:eastAsia="仿宋_GB2312"/>
                <w:color w:val="auto"/>
                <w:kern w:val="0"/>
              </w:rPr>
              <w:t>次，编写指导意见、简报、春耕春管、三夏及三秋等指导意见</w:t>
            </w:r>
            <w:r>
              <w:rPr>
                <w:rFonts w:hint="eastAsia" w:ascii="仿宋_GB2312" w:hAnsi="??" w:eastAsia="仿宋_GB2312"/>
                <w:color w:val="auto"/>
                <w:kern w:val="0"/>
                <w:lang w:val="en-US" w:eastAsia="zh-CN"/>
              </w:rPr>
              <w:t>31</w:t>
            </w:r>
            <w:r>
              <w:rPr>
                <w:rFonts w:hint="eastAsia" w:ascii="仿宋_GB2312" w:hAnsi="??" w:eastAsia="仿宋_GB2312"/>
                <w:color w:val="auto"/>
                <w:kern w:val="0"/>
              </w:rPr>
              <w:t>期，形成粮食作物和油料作物监测报告1份。 在种植业主产区建设小麦玉米“百千万”示范点</w:t>
            </w:r>
            <w:r>
              <w:rPr>
                <w:rFonts w:hint="eastAsia" w:ascii="仿宋_GB2312" w:hAnsi="??" w:eastAsia="仿宋_GB2312"/>
                <w:color w:val="auto"/>
                <w:kern w:val="0"/>
                <w:lang w:val="en-US" w:eastAsia="zh-CN"/>
              </w:rPr>
              <w:t>89</w:t>
            </w:r>
            <w:r>
              <w:rPr>
                <w:rFonts w:hint="eastAsia" w:ascii="仿宋_GB2312" w:hAnsi="??" w:eastAsia="仿宋_GB2312"/>
                <w:color w:val="auto"/>
                <w:kern w:val="0"/>
              </w:rPr>
              <w:t xml:space="preserve"> 个；开展线上线下技术培训</w:t>
            </w:r>
            <w:r>
              <w:rPr>
                <w:rFonts w:hint="eastAsia" w:ascii="仿宋_GB2312" w:hAnsi="??" w:eastAsia="仿宋_GB2312"/>
                <w:color w:val="auto"/>
                <w:kern w:val="0"/>
                <w:lang w:val="en-US" w:eastAsia="zh-CN"/>
              </w:rPr>
              <w:t>2151</w:t>
            </w:r>
            <w:r>
              <w:rPr>
                <w:rFonts w:hint="eastAsia" w:ascii="仿宋_GB2312" w:hAnsi="??" w:eastAsia="仿宋_GB2312"/>
                <w:color w:val="auto"/>
                <w:kern w:val="0"/>
              </w:rPr>
              <w:t>人次，技术指导1</w:t>
            </w:r>
            <w:r>
              <w:rPr>
                <w:rFonts w:hint="eastAsia" w:ascii="仿宋_GB2312" w:hAnsi="??" w:eastAsia="仿宋_GB2312"/>
                <w:color w:val="auto"/>
                <w:kern w:val="0"/>
                <w:lang w:val="en-US" w:eastAsia="zh-CN"/>
              </w:rPr>
              <w:t>240</w:t>
            </w:r>
            <w:r>
              <w:rPr>
                <w:rFonts w:hint="eastAsia" w:ascii="仿宋_GB2312" w:hAnsi="??" w:eastAsia="仿宋_GB2312"/>
                <w:color w:val="auto"/>
                <w:kern w:val="0"/>
              </w:rPr>
              <w:t>人次；服务对象满意度9</w:t>
            </w:r>
            <w:r>
              <w:rPr>
                <w:rFonts w:hint="eastAsia" w:ascii="仿宋_GB2312" w:hAnsi="??" w:eastAsia="仿宋_GB2312"/>
                <w:color w:val="auto"/>
                <w:kern w:val="0"/>
                <w:lang w:val="en-US" w:eastAsia="zh-CN"/>
              </w:rPr>
              <w:t>9.2</w:t>
            </w:r>
            <w:r>
              <w:rPr>
                <w:rFonts w:hint="eastAsia" w:ascii="仿宋_GB2312" w:hAnsi="??" w:eastAsia="仿宋_GB2312"/>
                <w:color w:val="auto"/>
                <w:kern w:val="0"/>
              </w:rPr>
              <w:t>5%。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绩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效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指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一级指标</w:t>
            </w:r>
          </w:p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二级指标</w:t>
            </w:r>
          </w:p>
        </w:tc>
        <w:tc>
          <w:tcPr>
            <w:tcW w:w="247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三级指标</w:t>
            </w:r>
          </w:p>
        </w:tc>
        <w:tc>
          <w:tcPr>
            <w:tcW w:w="9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分值</w:t>
            </w:r>
          </w:p>
        </w:tc>
        <w:tc>
          <w:tcPr>
            <w:tcW w:w="5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得分</w:t>
            </w:r>
          </w:p>
        </w:tc>
        <w:tc>
          <w:tcPr>
            <w:tcW w:w="12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产出指标</w:t>
            </w:r>
          </w:p>
        </w:tc>
        <w:tc>
          <w:tcPr>
            <w:tcW w:w="66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数量指标</w:t>
            </w:r>
          </w:p>
        </w:tc>
        <w:tc>
          <w:tcPr>
            <w:tcW w:w="247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  <w:lang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建立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监测点</w:t>
            </w:r>
          </w:p>
        </w:tc>
        <w:tc>
          <w:tcPr>
            <w:tcW w:w="9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≥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155个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156个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6</w:t>
            </w:r>
          </w:p>
        </w:tc>
        <w:tc>
          <w:tcPr>
            <w:tcW w:w="5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6</w:t>
            </w:r>
          </w:p>
        </w:tc>
        <w:tc>
          <w:tcPr>
            <w:tcW w:w="12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</w:p>
        </w:tc>
        <w:tc>
          <w:tcPr>
            <w:tcW w:w="66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</w:p>
        </w:tc>
        <w:tc>
          <w:tcPr>
            <w:tcW w:w="247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  <w:lang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监测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  <w:lang w:eastAsia="zh-CN"/>
              </w:rPr>
              <w:t>及指导意见</w:t>
            </w:r>
          </w:p>
        </w:tc>
        <w:tc>
          <w:tcPr>
            <w:tcW w:w="9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≥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20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期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31期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6</w:t>
            </w:r>
          </w:p>
        </w:tc>
        <w:tc>
          <w:tcPr>
            <w:tcW w:w="5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6</w:t>
            </w:r>
          </w:p>
        </w:tc>
        <w:tc>
          <w:tcPr>
            <w:tcW w:w="12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??" w:eastAsia="仿宋_GB2312" w:cs="仿宋_GB2312"/>
                <w:color w:val="000000"/>
                <w:kern w:val="0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</w:p>
        </w:tc>
        <w:tc>
          <w:tcPr>
            <w:tcW w:w="66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</w:p>
        </w:tc>
        <w:tc>
          <w:tcPr>
            <w:tcW w:w="247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粮油作物产业报告</w:t>
            </w:r>
          </w:p>
        </w:tc>
        <w:tc>
          <w:tcPr>
            <w:tcW w:w="9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=1份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1份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5</w:t>
            </w:r>
          </w:p>
        </w:tc>
        <w:tc>
          <w:tcPr>
            <w:tcW w:w="5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5</w:t>
            </w:r>
          </w:p>
        </w:tc>
        <w:tc>
          <w:tcPr>
            <w:tcW w:w="12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</w:p>
        </w:tc>
        <w:tc>
          <w:tcPr>
            <w:tcW w:w="66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</w:p>
        </w:tc>
        <w:tc>
          <w:tcPr>
            <w:tcW w:w="247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建立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百千万高产高效示范田</w:t>
            </w:r>
          </w:p>
        </w:tc>
        <w:tc>
          <w:tcPr>
            <w:tcW w:w="9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≥88个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89个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6</w:t>
            </w:r>
          </w:p>
        </w:tc>
        <w:tc>
          <w:tcPr>
            <w:tcW w:w="5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6</w:t>
            </w:r>
          </w:p>
        </w:tc>
        <w:tc>
          <w:tcPr>
            <w:tcW w:w="12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</w:p>
        </w:tc>
        <w:tc>
          <w:tcPr>
            <w:tcW w:w="66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</w:p>
        </w:tc>
        <w:tc>
          <w:tcPr>
            <w:tcW w:w="247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培训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人数</w:t>
            </w:r>
          </w:p>
        </w:tc>
        <w:tc>
          <w:tcPr>
            <w:tcW w:w="9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≥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1000人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/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次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2151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人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/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次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6</w:t>
            </w:r>
          </w:p>
        </w:tc>
        <w:tc>
          <w:tcPr>
            <w:tcW w:w="5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6</w:t>
            </w:r>
          </w:p>
        </w:tc>
        <w:tc>
          <w:tcPr>
            <w:tcW w:w="12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</w:p>
        </w:tc>
        <w:tc>
          <w:tcPr>
            <w:tcW w:w="66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</w:p>
        </w:tc>
        <w:tc>
          <w:tcPr>
            <w:tcW w:w="247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指导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人数</w:t>
            </w:r>
          </w:p>
        </w:tc>
        <w:tc>
          <w:tcPr>
            <w:tcW w:w="9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≥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1000人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/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次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1240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人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/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次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6</w:t>
            </w:r>
          </w:p>
        </w:tc>
        <w:tc>
          <w:tcPr>
            <w:tcW w:w="5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6</w:t>
            </w:r>
          </w:p>
        </w:tc>
        <w:tc>
          <w:tcPr>
            <w:tcW w:w="12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</w:p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质量指标</w:t>
            </w:r>
          </w:p>
        </w:tc>
        <w:tc>
          <w:tcPr>
            <w:tcW w:w="247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粮食百亩样板田土地产出率</w:t>
            </w:r>
          </w:p>
        </w:tc>
        <w:tc>
          <w:tcPr>
            <w:tcW w:w="9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≥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15%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15.7%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5</w:t>
            </w:r>
          </w:p>
        </w:tc>
        <w:tc>
          <w:tcPr>
            <w:tcW w:w="5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5</w:t>
            </w:r>
          </w:p>
        </w:tc>
        <w:tc>
          <w:tcPr>
            <w:tcW w:w="12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</w:p>
        </w:tc>
        <w:tc>
          <w:tcPr>
            <w:tcW w:w="66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时效指标</w:t>
            </w:r>
          </w:p>
        </w:tc>
        <w:tc>
          <w:tcPr>
            <w:tcW w:w="247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2023年6月底前完成建立示范田比率</w:t>
            </w:r>
          </w:p>
        </w:tc>
        <w:tc>
          <w:tcPr>
            <w:tcW w:w="9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≥60%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70.4%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5</w:t>
            </w:r>
          </w:p>
        </w:tc>
        <w:tc>
          <w:tcPr>
            <w:tcW w:w="5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5</w:t>
            </w:r>
          </w:p>
        </w:tc>
        <w:tc>
          <w:tcPr>
            <w:tcW w:w="12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</w:p>
        </w:tc>
        <w:tc>
          <w:tcPr>
            <w:tcW w:w="66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</w:p>
        </w:tc>
        <w:tc>
          <w:tcPr>
            <w:tcW w:w="247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2023年6月底前完成建立监测点比率</w:t>
            </w:r>
          </w:p>
        </w:tc>
        <w:tc>
          <w:tcPr>
            <w:tcW w:w="9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≥60%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61.2%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5</w:t>
            </w:r>
          </w:p>
        </w:tc>
        <w:tc>
          <w:tcPr>
            <w:tcW w:w="5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5</w:t>
            </w:r>
          </w:p>
        </w:tc>
        <w:tc>
          <w:tcPr>
            <w:tcW w:w="12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成本指标</w:t>
            </w:r>
          </w:p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经济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成本指标</w:t>
            </w:r>
          </w:p>
        </w:tc>
        <w:tc>
          <w:tcPr>
            <w:tcW w:w="247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  <w:lang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eastAsia="zh-CN"/>
              </w:rPr>
              <w:t>经费预算控制数</w:t>
            </w:r>
          </w:p>
        </w:tc>
        <w:tc>
          <w:tcPr>
            <w:tcW w:w="9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≤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198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万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color w:val="000000"/>
                <w:kern w:val="0"/>
                <w:lang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188.4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0364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  <w:lang w:eastAsia="zh-CN"/>
              </w:rPr>
              <w:t>万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10</w:t>
            </w:r>
          </w:p>
        </w:tc>
        <w:tc>
          <w:tcPr>
            <w:tcW w:w="5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10</w:t>
            </w:r>
          </w:p>
        </w:tc>
        <w:tc>
          <w:tcPr>
            <w:tcW w:w="12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49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效益指标</w:t>
            </w:r>
          </w:p>
        </w:tc>
        <w:tc>
          <w:tcPr>
            <w:tcW w:w="66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社会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指标</w:t>
            </w:r>
          </w:p>
        </w:tc>
        <w:tc>
          <w:tcPr>
            <w:tcW w:w="247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大豆示范田平均亩增产</w:t>
            </w:r>
          </w:p>
        </w:tc>
        <w:tc>
          <w:tcPr>
            <w:tcW w:w="9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≥5%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40.9%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5</w:t>
            </w:r>
          </w:p>
        </w:tc>
        <w:tc>
          <w:tcPr>
            <w:tcW w:w="5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color w:val="000000"/>
                <w:kern w:val="0"/>
                <w:lang w:val="en-US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3.5</w:t>
            </w:r>
          </w:p>
        </w:tc>
        <w:tc>
          <w:tcPr>
            <w:tcW w:w="12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偏差原因分析：大豆的生产田因异常灾害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  <w:lang w:eastAsia="zh-CN"/>
              </w:rPr>
              <w:t>受影响较大，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示范田各项技术措施均到位，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  <w:lang w:eastAsia="zh-CN"/>
              </w:rPr>
              <w:t>产量较高。改进措施：考虑灾害因素，适当提高增产幅度。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31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</w:p>
        </w:tc>
        <w:tc>
          <w:tcPr>
            <w:tcW w:w="66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</w:p>
        </w:tc>
        <w:tc>
          <w:tcPr>
            <w:tcW w:w="247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谷子示范田平均亩增产</w:t>
            </w:r>
          </w:p>
        </w:tc>
        <w:tc>
          <w:tcPr>
            <w:tcW w:w="9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≥5%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42.8%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5</w:t>
            </w:r>
          </w:p>
        </w:tc>
        <w:tc>
          <w:tcPr>
            <w:tcW w:w="5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3.5</w:t>
            </w:r>
          </w:p>
        </w:tc>
        <w:tc>
          <w:tcPr>
            <w:tcW w:w="12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偏差原因分析：花生的生产田因异常灾害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  <w:lang w:eastAsia="zh-CN"/>
              </w:rPr>
              <w:t>受影响较大，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示范田各项技术措施均到位，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  <w:lang w:eastAsia="zh-CN"/>
              </w:rPr>
              <w:t>产量较高。改进措施：考虑灾害因素，适当提高增产幅度。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</w:p>
        </w:tc>
        <w:tc>
          <w:tcPr>
            <w:tcW w:w="66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</w:p>
        </w:tc>
        <w:tc>
          <w:tcPr>
            <w:tcW w:w="247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甘薯示范田平均亩增产</w:t>
            </w:r>
          </w:p>
        </w:tc>
        <w:tc>
          <w:tcPr>
            <w:tcW w:w="9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≥6%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9.9%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5</w:t>
            </w:r>
          </w:p>
        </w:tc>
        <w:tc>
          <w:tcPr>
            <w:tcW w:w="5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5</w:t>
            </w:r>
          </w:p>
        </w:tc>
        <w:tc>
          <w:tcPr>
            <w:tcW w:w="12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</w:p>
        </w:tc>
        <w:tc>
          <w:tcPr>
            <w:tcW w:w="66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</w:p>
        </w:tc>
        <w:tc>
          <w:tcPr>
            <w:tcW w:w="247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万亩产业带主导品种及主推技术覆盖率</w:t>
            </w:r>
          </w:p>
        </w:tc>
        <w:tc>
          <w:tcPr>
            <w:tcW w:w="9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≥85%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88%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5</w:t>
            </w:r>
          </w:p>
        </w:tc>
        <w:tc>
          <w:tcPr>
            <w:tcW w:w="5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5</w:t>
            </w:r>
          </w:p>
        </w:tc>
        <w:tc>
          <w:tcPr>
            <w:tcW w:w="12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color w:val="000000"/>
                <w:kern w:val="0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指标</w:t>
            </w:r>
          </w:p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color w:val="000000"/>
                <w:kern w:val="0"/>
                <w:lang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服务对象满意度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指标</w:t>
            </w:r>
          </w:p>
        </w:tc>
        <w:tc>
          <w:tcPr>
            <w:tcW w:w="247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农户满意度</w:t>
            </w:r>
          </w:p>
        </w:tc>
        <w:tc>
          <w:tcPr>
            <w:tcW w:w="9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≥95%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99.25%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10</w:t>
            </w:r>
          </w:p>
        </w:tc>
        <w:tc>
          <w:tcPr>
            <w:tcW w:w="5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10</w:t>
            </w:r>
          </w:p>
        </w:tc>
        <w:tc>
          <w:tcPr>
            <w:tcW w:w="12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color w:val="000000"/>
                <w:kern w:val="0"/>
              </w:rPr>
            </w:pPr>
            <w:r>
              <w:rPr>
                <w:rFonts w:ascii="仿宋_GB2312" w:hAnsi="??" w:eastAsia="仿宋_GB2312" w:cs="仿宋_GB2312"/>
                <w:color w:val="000000"/>
                <w:kern w:val="0"/>
              </w:rPr>
              <w:t>100</w:t>
            </w:r>
          </w:p>
        </w:tc>
        <w:tc>
          <w:tcPr>
            <w:tcW w:w="5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96.97</w:t>
            </w:r>
            <w:bookmarkStart w:id="0" w:name="_GoBack"/>
            <w:bookmarkEnd w:id="0"/>
          </w:p>
        </w:tc>
        <w:tc>
          <w:tcPr>
            <w:tcW w:w="12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p>
      <w:pPr>
        <w:spacing w:line="520" w:lineRule="exact"/>
        <w:ind w:firstLine="420" w:firstLineChars="200"/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DC3DFFF4-9EC6-460C-AD29-EB322D1AAD93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2" w:fontKey="{0BD5E5F3-39ED-4829-918A-3D389982A209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4EBD6BDA-D8E1-437F-A4A6-CA866E5EB89A}"/>
  </w:font>
  <w:font w:name="??">
    <w:altName w:val="ksdb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ksdb">
    <w:panose1 w:val="02000500000000000000"/>
    <w:charset w:val="00"/>
    <w:family w:val="auto"/>
    <w:pitch w:val="default"/>
    <w:sig w:usb0="00000001" w:usb1="00000000" w:usb2="00000000" w:usb3="00000000" w:csb0="0000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right"/>
      <w:rPr>
        <w:rFonts w:ascii="??" w:hAnsi="??" w:cs="??"/>
        <w:sz w:val="28"/>
        <w:szCs w:val="28"/>
      </w:rPr>
    </w:pPr>
  </w:p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TrueTypeFonts/>
  <w:saveSubsetFonts/>
  <w:bordersDoNotSurroundHeader w:val="0"/>
  <w:bordersDoNotSurroundFooter w:val="0"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OGIzY2E3OTIzMGYxNmI3OTljNzA0ZGM0MGY4ZDFhZTMifQ=="/>
  </w:docVars>
  <w:rsids>
    <w:rsidRoot w:val="F77F09F4"/>
    <w:rsid w:val="00212B3B"/>
    <w:rsid w:val="003518EE"/>
    <w:rsid w:val="004C37F4"/>
    <w:rsid w:val="006462FD"/>
    <w:rsid w:val="008F7B3D"/>
    <w:rsid w:val="00AF513F"/>
    <w:rsid w:val="00BC4D7D"/>
    <w:rsid w:val="00C6637B"/>
    <w:rsid w:val="00D65E5D"/>
    <w:rsid w:val="00D7349D"/>
    <w:rsid w:val="00E53254"/>
    <w:rsid w:val="00F67A40"/>
    <w:rsid w:val="06F40E73"/>
    <w:rsid w:val="17884ACD"/>
    <w:rsid w:val="1CD97BB2"/>
    <w:rsid w:val="2E9A4AF0"/>
    <w:rsid w:val="2FCF4FA6"/>
    <w:rsid w:val="37173543"/>
    <w:rsid w:val="37FE1CDA"/>
    <w:rsid w:val="37FFEB4E"/>
    <w:rsid w:val="3D0228C2"/>
    <w:rsid w:val="3EDFCF2D"/>
    <w:rsid w:val="3FF76880"/>
    <w:rsid w:val="457B2B2E"/>
    <w:rsid w:val="487D11BD"/>
    <w:rsid w:val="4B413ED2"/>
    <w:rsid w:val="61A134C4"/>
    <w:rsid w:val="6A60540F"/>
    <w:rsid w:val="7642703D"/>
    <w:rsid w:val="76FF0E31"/>
    <w:rsid w:val="777F6B34"/>
    <w:rsid w:val="77EF02C6"/>
    <w:rsid w:val="7AB7FF50"/>
    <w:rsid w:val="7BFEB0DB"/>
    <w:rsid w:val="7E3F41A8"/>
    <w:rsid w:val="7EF7CD84"/>
    <w:rsid w:val="7F7F7496"/>
    <w:rsid w:val="9DBF6CA4"/>
    <w:rsid w:val="B7BF7B48"/>
    <w:rsid w:val="BAEE642C"/>
    <w:rsid w:val="CB7F43A7"/>
    <w:rsid w:val="CEFD3F3D"/>
    <w:rsid w:val="CFDFBF27"/>
    <w:rsid w:val="EA3F77F2"/>
    <w:rsid w:val="EEFE5989"/>
    <w:rsid w:val="EFCF3EAE"/>
    <w:rsid w:val="F5B764A2"/>
    <w:rsid w:val="F77F09F4"/>
    <w:rsid w:val="F7EAC674"/>
    <w:rsid w:val="FD5B3E5C"/>
    <w:rsid w:val="FFD7BFFC"/>
    <w:rsid w:val="FFFA6B0F"/>
    <w:rsid w:val="FFFF8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nhideWhenUsed="0" w:uiPriority="99" w:semiHidden="0" w:name="heading 2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qFormat="1"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link w:val="8"/>
    <w:qFormat/>
    <w:uiPriority w:val="99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bCs/>
      <w:sz w:val="32"/>
      <w:szCs w:val="32"/>
    </w:rPr>
  </w:style>
  <w:style w:type="character" w:default="1" w:styleId="7">
    <w:name w:val="Default Paragraph Font"/>
    <w:autoRedefine/>
    <w:semiHidden/>
    <w:qFormat/>
    <w:uiPriority w:val="99"/>
  </w:style>
  <w:style w:type="table" w:default="1" w:styleId="6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autoRedefine/>
    <w:semiHidden/>
    <w:unhideWhenUsed/>
    <w:qFormat/>
    <w:uiPriority w:val="99"/>
    <w:pPr>
      <w:jc w:val="left"/>
    </w:pPr>
  </w:style>
  <w:style w:type="paragraph" w:styleId="4">
    <w:name w:val="footer"/>
    <w:basedOn w:val="1"/>
    <w:link w:val="9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autoRedefine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8">
    <w:name w:val="Heading 2 Char"/>
    <w:basedOn w:val="7"/>
    <w:link w:val="2"/>
    <w:autoRedefine/>
    <w:semiHidden/>
    <w:qFormat/>
    <w:locked/>
    <w:uiPriority w:val="99"/>
    <w:rPr>
      <w:rFonts w:ascii="Cambria" w:hAnsi="Cambria" w:eastAsia="宋体" w:cs="Cambria"/>
      <w:b/>
      <w:bCs/>
      <w:sz w:val="32"/>
      <w:szCs w:val="32"/>
    </w:rPr>
  </w:style>
  <w:style w:type="character" w:customStyle="1" w:styleId="9">
    <w:name w:val="Footer Char"/>
    <w:basedOn w:val="7"/>
    <w:link w:val="4"/>
    <w:autoRedefine/>
    <w:semiHidden/>
    <w:qFormat/>
    <w:locked/>
    <w:uiPriority w:val="99"/>
    <w:rPr>
      <w:rFonts w:ascii="Times New Roman" w:hAnsi="Times New Roman" w:cs="Times New Roman"/>
      <w:sz w:val="18"/>
      <w:szCs w:val="18"/>
    </w:rPr>
  </w:style>
  <w:style w:type="character" w:customStyle="1" w:styleId="10">
    <w:name w:val="Header Char"/>
    <w:basedOn w:val="7"/>
    <w:link w:val="5"/>
    <w:autoRedefine/>
    <w:semiHidden/>
    <w:qFormat/>
    <w:locked/>
    <w:uiPriority w:val="99"/>
    <w:rPr>
      <w:rFonts w:ascii="Times New Roman" w:hAnsi="Times New Roman" w:cs="Times New Roman"/>
      <w:sz w:val="18"/>
      <w:szCs w:val="18"/>
    </w:rPr>
  </w:style>
  <w:style w:type="paragraph" w:customStyle="1" w:styleId="11">
    <w:name w:val="列出段落1"/>
    <w:basedOn w:val="1"/>
    <w:autoRedefine/>
    <w:qFormat/>
    <w:uiPriority w:val="99"/>
    <w:pPr>
      <w:ind w:firstLine="420" w:firstLineChars="200"/>
    </w:pPr>
    <w:rPr>
      <w:rFonts w:ascii="Calibri" w:hAnsi="Calibri" w:cs="Calibri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Microsoft</Company>
  <Pages>2</Pages>
  <Words>165</Words>
  <Characters>941</Characters>
  <Lines>0</Lines>
  <Paragraphs>0</Paragraphs>
  <TotalTime>6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2022-03-11T03:16:00Z</dcterms:created>
  <dc:creator>user</dc:creator>
  <cp:lastModifiedBy>李佳琦</cp:lastModifiedBy>
  <cp:lastPrinted>2022-03-25T10:01:00Z</cp:lastPrinted>
  <dcterms:modified xsi:type="dcterms:W3CDTF">2024-05-16T09:19:45Z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4C26AEC1160B6E22FA473B6688ECDDD4</vt:lpwstr>
  </property>
</Properties>
</file>