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jc w:val="center"/>
        <w:rPr>
          <w:rFonts w:ascii="仿宋_GB2312" w:hAnsi="??" w:eastAsia="仿宋_GB2312"/>
          <w:sz w:val="28"/>
          <w:szCs w:val="28"/>
        </w:rPr>
      </w:pP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2023</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tabs>
                <w:tab w:val="left" w:pos="724"/>
              </w:tabs>
              <w:spacing w:line="240" w:lineRule="exact"/>
              <w:jc w:val="lef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ab/>
            </w:r>
            <w:bookmarkStart w:id="0" w:name="_GoBack"/>
            <w:r>
              <w:rPr>
                <w:rFonts w:hint="eastAsia" w:ascii="仿宋_GB2312" w:hAnsi="仿宋_GB2312" w:eastAsia="仿宋_GB2312" w:cs="仿宋_GB2312"/>
                <w:kern w:val="0"/>
                <w:sz w:val="21"/>
                <w:szCs w:val="21"/>
                <w:lang w:eastAsia="zh-CN"/>
              </w:rPr>
              <w:t>信息化系统运维项目（硬件设施设备运维项目）</w:t>
            </w:r>
            <w:bookmarkEnd w:id="0"/>
          </w:p>
        </w:tc>
      </w:tr>
      <w:tr>
        <w:tblPrEx>
          <w:tblCellMar>
            <w:top w:w="0" w:type="dxa"/>
            <w:left w:w="108" w:type="dxa"/>
            <w:bottom w:w="0" w:type="dxa"/>
            <w:right w:w="108" w:type="dxa"/>
          </w:tblCellMar>
        </w:tblPrEx>
        <w:trPr>
          <w:trHeight w:val="50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kern w:val="0"/>
                <w:sz w:val="21"/>
                <w:szCs w:val="21"/>
                <w:lang w:eastAsia="zh-CN"/>
              </w:rPr>
              <w:t>北京市数字农业农村促进中心</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eastAsia="zh-CN"/>
              </w:rPr>
              <w:t>卢月静</w:t>
            </w:r>
            <w:r>
              <w:rPr>
                <w:rFonts w:hint="eastAsia" w:ascii="仿宋_GB2312" w:hAnsi="仿宋_GB2312" w:eastAsia="仿宋_GB2312" w:cs="仿宋_GB2312"/>
                <w:kern w:val="0"/>
                <w:sz w:val="21"/>
                <w:szCs w:val="21"/>
                <w:lang w:val="en-US" w:eastAsia="zh-CN"/>
              </w:rPr>
              <w:t xml:space="preserve">   杨莹莹</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55525436  55525438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项目资金</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年初预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全年预</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全年</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tblPrEx>
          <w:tblCellMar>
            <w:top w:w="0" w:type="dxa"/>
            <w:left w:w="108" w:type="dxa"/>
            <w:bottom w:w="0" w:type="dxa"/>
            <w:right w:w="108" w:type="dxa"/>
          </w:tblCellMar>
        </w:tblPrEx>
        <w:trPr>
          <w:trHeight w:val="528"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kern w:val="0"/>
                <w:sz w:val="21"/>
                <w:szCs w:val="21"/>
                <w:lang w:val="en-US" w:eastAsia="zh-CN"/>
              </w:rPr>
              <w:t>469.405000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kern w:val="0"/>
                <w:sz w:val="21"/>
                <w:szCs w:val="21"/>
                <w:lang w:val="en" w:eastAsia="zh-CN"/>
              </w:rPr>
              <w:t>455.781</w:t>
            </w:r>
            <w:r>
              <w:rPr>
                <w:rFonts w:hint="eastAsia" w:ascii="仿宋_GB2312" w:hAnsi="仿宋_GB2312" w:eastAsia="仿宋_GB2312" w:cs="仿宋_GB2312"/>
                <w:kern w:val="0"/>
                <w:sz w:val="21"/>
                <w:szCs w:val="21"/>
                <w:lang w:val="en-US" w:eastAsia="zh-CN"/>
              </w:rPr>
              <w:t>082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45</w:t>
            </w:r>
            <w:r>
              <w:rPr>
                <w:rFonts w:hint="eastAsia" w:ascii="仿宋_GB2312" w:hAnsi="仿宋_GB2312" w:eastAsia="仿宋_GB2312" w:cs="仿宋_GB2312"/>
                <w:kern w:val="0"/>
                <w:sz w:val="21"/>
                <w:szCs w:val="21"/>
                <w:lang w:val="en" w:eastAsia="zh-CN"/>
              </w:rPr>
              <w:t>2</w:t>
            </w:r>
            <w:r>
              <w:rPr>
                <w:rFonts w:hint="eastAsia" w:ascii="仿宋_GB2312" w:hAnsi="仿宋_GB2312" w:eastAsia="仿宋_GB2312" w:cs="仿宋_GB2312"/>
                <w:kern w:val="0"/>
                <w:sz w:val="21"/>
                <w:szCs w:val="21"/>
                <w:lang w:val="en-US" w:eastAsia="zh-CN"/>
              </w:rPr>
              <w:t>.7</w:t>
            </w:r>
            <w:r>
              <w:rPr>
                <w:rFonts w:hint="eastAsia" w:ascii="仿宋_GB2312" w:hAnsi="仿宋_GB2312" w:eastAsia="仿宋_GB2312" w:cs="仿宋_GB2312"/>
                <w:kern w:val="0"/>
                <w:sz w:val="21"/>
                <w:szCs w:val="21"/>
                <w:lang w:val="en" w:eastAsia="zh-CN"/>
              </w:rPr>
              <w:t>06</w:t>
            </w:r>
            <w:r>
              <w:rPr>
                <w:rFonts w:hint="eastAsia" w:ascii="仿宋_GB2312" w:hAnsi="仿宋_GB2312" w:eastAsia="仿宋_GB2312" w:cs="仿宋_GB2312"/>
                <w:kern w:val="0"/>
                <w:sz w:val="21"/>
                <w:szCs w:val="21"/>
                <w:lang w:val="en-US" w:eastAsia="zh-CN"/>
              </w:rPr>
              <w:t>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99.33%</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r>
      <w:tr>
        <w:tblPrEx>
          <w:tblCellMar>
            <w:top w:w="0" w:type="dxa"/>
            <w:left w:w="108" w:type="dxa"/>
            <w:bottom w:w="0" w:type="dxa"/>
            <w:right w:w="108" w:type="dxa"/>
          </w:tblCellMar>
        </w:tblPrEx>
        <w:trPr>
          <w:trHeight w:val="68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其中：当年财政</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469.405000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 w:eastAsia="zh-CN"/>
              </w:rPr>
              <w:t>455.781</w:t>
            </w:r>
            <w:r>
              <w:rPr>
                <w:rFonts w:hint="eastAsia" w:ascii="仿宋_GB2312" w:hAnsi="仿宋_GB2312" w:eastAsia="仿宋_GB2312" w:cs="仿宋_GB2312"/>
                <w:kern w:val="0"/>
                <w:sz w:val="21"/>
                <w:szCs w:val="21"/>
                <w:lang w:val="en-US" w:eastAsia="zh-CN"/>
              </w:rPr>
              <w:t>082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kern w:val="0"/>
                <w:sz w:val="21"/>
                <w:szCs w:val="21"/>
                <w:lang w:val="en" w:eastAsia="zh-CN"/>
              </w:rPr>
              <w:t>452.706</w:t>
            </w:r>
            <w:r>
              <w:rPr>
                <w:rFonts w:hint="eastAsia" w:ascii="仿宋_GB2312" w:hAnsi="仿宋_GB2312" w:eastAsia="仿宋_GB2312" w:cs="仿宋_GB2312"/>
                <w:kern w:val="0"/>
                <w:sz w:val="21"/>
                <w:szCs w:val="21"/>
                <w:lang w:val="en-US" w:eastAsia="zh-CN"/>
              </w:rPr>
              <w:t>000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99.33%</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实际完成情况</w:t>
            </w:r>
          </w:p>
        </w:tc>
      </w:tr>
      <w:tr>
        <w:tblPrEx>
          <w:tblCellMar>
            <w:top w:w="0" w:type="dxa"/>
            <w:left w:w="108" w:type="dxa"/>
            <w:bottom w:w="0" w:type="dxa"/>
            <w:right w:w="108" w:type="dxa"/>
          </w:tblCellMar>
        </w:tblPrEx>
        <w:trPr>
          <w:trHeight w:val="3379"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5066" w:type="dxa"/>
            <w:gridSpan w:val="6"/>
            <w:tcBorders>
              <w:top w:val="single" w:color="auto" w:sz="4" w:space="0"/>
              <w:left w:val="nil"/>
              <w:bottom w:val="single" w:color="auto" w:sz="4" w:space="0"/>
              <w:right w:val="single" w:color="auto" w:sz="4" w:space="0"/>
            </w:tcBorders>
            <w:vAlign w:val="center"/>
          </w:tcPr>
          <w:p>
            <w:pPr>
              <w:tabs>
                <w:tab w:val="left" w:pos="1821"/>
              </w:tabs>
              <w:bidi w:val="0"/>
              <w:jc w:val="left"/>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确保三个办公区硬件设施设备安全稳定运行，确保加密视频会议、委局内部会议、应急指挥会议和乡村振兴会议的保障和视频会议系统软硬件运行维护。实现以下目标： 1.保障网络设备的安全可靠、稳定运行。 2.保障机房设备正常运转。 3.保障视频会议正常进行。 4.做好办公区终端各种运维。 5.最短的时间内响应处理各类故障并恢复。</w:t>
            </w:r>
          </w:p>
          <w:p>
            <w:pPr>
              <w:tabs>
                <w:tab w:val="left" w:pos="1821"/>
              </w:tabs>
              <w:bidi w:val="0"/>
              <w:jc w:val="left"/>
              <w:rPr>
                <w:rFonts w:hint="eastAsia" w:ascii="仿宋_GB2312" w:hAnsi="仿宋_GB2312" w:eastAsia="仿宋_GB2312" w:cs="仿宋_GB2312"/>
                <w:sz w:val="21"/>
                <w:szCs w:val="21"/>
                <w:lang w:val="en-US" w:eastAsia="zh-CN"/>
              </w:rPr>
            </w:pP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sz w:val="21"/>
                <w:szCs w:val="21"/>
                <w:lang w:val="en-US" w:eastAsia="zh-CN"/>
              </w:rPr>
              <w:t>保障了2023年度市农业农村局南办公区、北办公区及北沙滩办公区硬件设施设备安全稳定运行，确保加密视频会议、委局内部会议、应急指挥会议和乡村振兴会议的保障和视频会议系统软硬件运行维护。2023年度共保障委局各类视频会议790场，完成客户端运维1843次，巡检四层机房339次，地下一层UPS机房339次、北楼一层机房339次，北沙滩机房7*24小时值守，达到了预期目标。</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绩</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效</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指</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措施</w:t>
            </w:r>
          </w:p>
        </w:tc>
      </w:tr>
      <w:tr>
        <w:tblPrEx>
          <w:tblCellMar>
            <w:top w:w="0" w:type="dxa"/>
            <w:left w:w="108" w:type="dxa"/>
            <w:bottom w:w="0" w:type="dxa"/>
            <w:right w:w="108" w:type="dxa"/>
          </w:tblCellMar>
        </w:tblPrEx>
        <w:trPr>
          <w:trHeight w:val="5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rPr>
              <w:t>硬件维护</w:t>
            </w:r>
            <w:r>
              <w:rPr>
                <w:rFonts w:hint="eastAsia" w:ascii="仿宋_GB2312" w:hAnsi="仿宋_GB2312" w:eastAsia="仿宋_GB2312" w:cs="仿宋_GB2312"/>
                <w:color w:val="000000"/>
                <w:kern w:val="0"/>
                <w:sz w:val="21"/>
                <w:szCs w:val="21"/>
                <w:lang w:eastAsia="zh-CN"/>
              </w:rPr>
              <w:t>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rPr>
              <w:t>≥</w:t>
            </w:r>
            <w:r>
              <w:rPr>
                <w:rFonts w:hint="eastAsia" w:ascii="仿宋_GB2312" w:hAnsi="仿宋_GB2312" w:eastAsia="仿宋_GB2312" w:cs="仿宋_GB2312"/>
                <w:color w:val="000000"/>
                <w:kern w:val="0"/>
                <w:sz w:val="21"/>
                <w:szCs w:val="21"/>
                <w:lang w:val="en-US" w:eastAsia="zh-CN"/>
              </w:rPr>
              <w:t>155个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200个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5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故障修复率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48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故障修复时间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
              </w:rPr>
              <w:t>4</w:t>
            </w:r>
            <w:r>
              <w:rPr>
                <w:rFonts w:hint="eastAsia" w:ascii="仿宋_GB2312" w:hAnsi="仿宋_GB2312" w:eastAsia="仿宋_GB2312" w:cs="仿宋_GB2312"/>
                <w:kern w:val="0"/>
                <w:sz w:val="21"/>
                <w:szCs w:val="21"/>
                <w:lang w:val="en-US" w:eastAsia="zh-CN"/>
              </w:rPr>
              <w:t>小时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 w:eastAsia="zh-CN"/>
              </w:rPr>
            </w:pPr>
            <w:r>
              <w:rPr>
                <w:rFonts w:hint="eastAsia" w:ascii="仿宋_GB2312" w:hAnsi="仿宋_GB2312" w:eastAsia="仿宋_GB2312" w:cs="仿宋_GB2312"/>
                <w:kern w:val="0"/>
                <w:sz w:val="21"/>
                <w:szCs w:val="21"/>
                <w:lang w:val="en-US" w:eastAsia="zh-CN"/>
              </w:rPr>
              <w:t>2小时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4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故障应急响应时间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60分钟</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 w:eastAsia="zh-CN"/>
              </w:rPr>
            </w:pPr>
            <w:r>
              <w:rPr>
                <w:rFonts w:hint="eastAsia" w:ascii="仿宋_GB2312" w:hAnsi="仿宋_GB2312" w:eastAsia="仿宋_GB2312" w:cs="仿宋_GB2312"/>
                <w:kern w:val="0"/>
                <w:sz w:val="21"/>
                <w:szCs w:val="21"/>
                <w:lang w:val="en-US" w:eastAsia="zh-CN"/>
              </w:rPr>
              <w:t>40分钟</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1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成本指标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经济</w:t>
            </w:r>
            <w:r>
              <w:rPr>
                <w:rFonts w:hint="eastAsia" w:ascii="仿宋_GB2312" w:hAnsi="仿宋_GB2312" w:eastAsia="仿宋_GB2312" w:cs="仿宋_GB2312"/>
                <w:kern w:val="0"/>
                <w:sz w:val="21"/>
                <w:szCs w:val="21"/>
                <w:lang w:val="en-US" w:eastAsia="zh-CN"/>
              </w:rPr>
              <w:t>成本</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lang w:eastAsia="zh-CN"/>
              </w:rPr>
            </w:pPr>
            <w:r>
              <w:rPr>
                <w:rFonts w:hint="eastAsia" w:ascii="仿宋_GB2312" w:hAnsi="仿宋_GB2312" w:eastAsia="仿宋_GB2312" w:cs="仿宋_GB2312"/>
                <w:color w:val="000000"/>
                <w:kern w:val="0"/>
                <w:sz w:val="21"/>
                <w:szCs w:val="21"/>
                <w:lang w:eastAsia="zh-CN"/>
              </w:rPr>
              <w:t>硬件维护成本</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r>
              <w:rPr>
                <w:rFonts w:hint="eastAsia" w:ascii="仿宋_GB2312" w:hAnsi="仿宋_GB2312" w:eastAsia="仿宋_GB2312" w:cs="仿宋_GB2312"/>
                <w:kern w:val="0"/>
                <w:sz w:val="21"/>
                <w:szCs w:val="21"/>
                <w:lang w:val="en-US" w:eastAsia="zh-CN"/>
              </w:rPr>
              <w:t>519.405万元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kern w:val="0"/>
                <w:sz w:val="21"/>
                <w:szCs w:val="21"/>
                <w:lang w:val="en-US" w:eastAsia="zh-CN"/>
              </w:rPr>
              <w:t>45</w:t>
            </w:r>
            <w:r>
              <w:rPr>
                <w:rFonts w:hint="eastAsia" w:ascii="仿宋_GB2312" w:hAnsi="仿宋_GB2312" w:eastAsia="仿宋_GB2312" w:cs="仿宋_GB2312"/>
                <w:kern w:val="0"/>
                <w:sz w:val="21"/>
                <w:szCs w:val="21"/>
                <w:lang w:val="en" w:eastAsia="zh-CN"/>
              </w:rPr>
              <w:t>2</w:t>
            </w:r>
            <w:r>
              <w:rPr>
                <w:rFonts w:hint="eastAsia" w:ascii="仿宋_GB2312" w:hAnsi="仿宋_GB2312" w:eastAsia="仿宋_GB2312" w:cs="仿宋_GB2312"/>
                <w:kern w:val="0"/>
                <w:sz w:val="21"/>
                <w:szCs w:val="21"/>
                <w:lang w:val="en-US" w:eastAsia="zh-CN"/>
              </w:rPr>
              <w:t>.7</w:t>
            </w:r>
            <w:r>
              <w:rPr>
                <w:rFonts w:hint="eastAsia" w:ascii="仿宋_GB2312" w:hAnsi="仿宋_GB2312" w:eastAsia="仿宋_GB2312" w:cs="仿宋_GB2312"/>
                <w:kern w:val="0"/>
                <w:sz w:val="21"/>
                <w:szCs w:val="21"/>
                <w:lang w:val="en" w:eastAsia="zh-CN"/>
              </w:rPr>
              <w:t>06</w:t>
            </w:r>
            <w:r>
              <w:rPr>
                <w:rFonts w:hint="eastAsia" w:ascii="仿宋_GB2312" w:hAnsi="仿宋_GB2312" w:eastAsia="仿宋_GB2312" w:cs="仿宋_GB2312"/>
                <w:kern w:val="0"/>
                <w:sz w:val="21"/>
                <w:szCs w:val="21"/>
                <w:lang w:val="en-US" w:eastAsia="zh-CN"/>
              </w:rPr>
              <w:t>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78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社会效益</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硬件使用率</w:t>
            </w:r>
          </w:p>
        </w:tc>
        <w:tc>
          <w:tcPr>
            <w:tcW w:w="849" w:type="dxa"/>
            <w:tcBorders>
              <w:top w:val="single" w:color="auto" w:sz="4" w:space="0"/>
              <w:left w:val="nil"/>
              <w:bottom w:val="single" w:color="auto" w:sz="4" w:space="0"/>
              <w:right w:val="single" w:color="auto" w:sz="4" w:space="0"/>
            </w:tcBorders>
            <w:vAlign w:val="center"/>
          </w:tcPr>
          <w:p>
            <w:pPr>
              <w:widowControl/>
              <w:tabs>
                <w:tab w:val="left" w:pos="313"/>
              </w:tabs>
              <w:spacing w:line="240" w:lineRule="exact"/>
              <w:jc w:val="left"/>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
              </w:rPr>
              <w:t>≥</w:t>
            </w:r>
            <w:r>
              <w:rPr>
                <w:rFonts w:hint="eastAsia" w:ascii="仿宋_GB2312" w:hAnsi="仿宋_GB2312" w:eastAsia="仿宋_GB2312" w:cs="仿宋_GB2312"/>
                <w:kern w:val="0"/>
                <w:sz w:val="21"/>
                <w:szCs w:val="21"/>
                <w:lang w:val="en-US" w:eastAsia="zh-CN"/>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11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满意度</w:t>
            </w:r>
          </w:p>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服务对象满意度</w:t>
            </w:r>
            <w:r>
              <w:rPr>
                <w:rFonts w:hint="eastAsia" w:ascii="仿宋_GB2312" w:hAnsi="仿宋_GB2312" w:eastAsia="仿宋_GB2312" w:cs="仿宋_GB2312"/>
                <w:kern w:val="0"/>
                <w:sz w:val="21"/>
                <w:szCs w:val="21"/>
                <w:lang w:val="en-US" w:eastAsia="zh-CN"/>
              </w:rPr>
              <w:t>指</w:t>
            </w:r>
            <w:r>
              <w:rPr>
                <w:rFonts w:hint="eastAsia" w:ascii="仿宋_GB2312" w:hAnsi="仿宋_GB2312" w:eastAsia="仿宋_GB2312" w:cs="仿宋_GB2312"/>
                <w:kern w:val="0"/>
                <w:sz w:val="21"/>
                <w:szCs w:val="21"/>
              </w:rPr>
              <w:t>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使用人员满意度</w:t>
            </w:r>
          </w:p>
        </w:tc>
        <w:tc>
          <w:tcPr>
            <w:tcW w:w="849" w:type="dxa"/>
            <w:tcBorders>
              <w:top w:val="single" w:color="auto" w:sz="4" w:space="0"/>
              <w:left w:val="nil"/>
              <w:bottom w:val="single" w:color="auto" w:sz="4" w:space="0"/>
              <w:right w:val="single" w:color="auto" w:sz="4" w:space="0"/>
            </w:tcBorders>
            <w:vAlign w:val="center"/>
          </w:tcPr>
          <w:p>
            <w:pPr>
              <w:widowControl/>
              <w:tabs>
                <w:tab w:val="left" w:pos="313"/>
              </w:tabs>
              <w:spacing w:line="240" w:lineRule="exact"/>
              <w:jc w:val="left"/>
              <w:rPr>
                <w:rFonts w:hint="eastAsia" w:ascii="仿宋_GB2312" w:hAnsi="仿宋_GB2312" w:eastAsia="仿宋_GB2312" w:cs="仿宋_GB2312"/>
                <w:kern w:val="0"/>
                <w:sz w:val="21"/>
                <w:szCs w:val="21"/>
                <w:lang w:val="en"/>
              </w:rPr>
            </w:pPr>
            <w:r>
              <w:rPr>
                <w:rFonts w:hint="eastAsia" w:ascii="仿宋_GB2312" w:hAnsi="仿宋_GB2312" w:eastAsia="仿宋_GB2312" w:cs="仿宋_GB2312"/>
                <w:kern w:val="0"/>
                <w:sz w:val="21"/>
                <w:szCs w:val="21"/>
                <w:lang w:val="en"/>
              </w:rPr>
              <w:t>≥90%</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
              </w:rPr>
              <w:t>9</w:t>
            </w:r>
            <w:r>
              <w:rPr>
                <w:rFonts w:hint="eastAsia" w:ascii="仿宋_GB2312" w:hAnsi="仿宋_GB2312" w:eastAsia="仿宋_GB2312" w:cs="仿宋_GB2312"/>
                <w:kern w:val="0"/>
                <w:sz w:val="21"/>
                <w:szCs w:val="21"/>
                <w:highlight w:val="none"/>
                <w:lang w:val="en-US" w:eastAsia="zh-CN"/>
              </w:rPr>
              <w:t>5</w:t>
            </w:r>
            <w:r>
              <w:rPr>
                <w:rFonts w:hint="eastAsia" w:ascii="仿宋_GB2312" w:hAnsi="仿宋_GB2312" w:eastAsia="仿宋_GB2312" w:cs="仿宋_GB2312"/>
                <w:kern w:val="0"/>
                <w:sz w:val="21"/>
                <w:szCs w:val="21"/>
                <w:highlight w:val="none"/>
                <w:lang w:val="en"/>
              </w:rPr>
              <w:t>%</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100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sz w:val="21"/>
                <w:szCs w:val="21"/>
              </w:rPr>
            </w:pPr>
          </w:p>
        </w:tc>
      </w:tr>
    </w:tbl>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03249F4-E788-4B55-95C6-DC02ACA022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embedRegular r:id="rId2" w:fontKey="{C0F442C0-6B26-4EE3-AFFA-7826B3CC1340}"/>
  </w:font>
  <w:font w:name="仿宋_GB2312">
    <w:panose1 w:val="02010609030101010101"/>
    <w:charset w:val="86"/>
    <w:family w:val="modern"/>
    <w:pitch w:val="default"/>
    <w:sig w:usb0="00000001" w:usb1="080E0000" w:usb2="00000000" w:usb3="00000000" w:csb0="00040000" w:csb1="00000000"/>
    <w:embedRegular r:id="rId3" w:fontKey="{60C50FD0-241C-40E0-89AB-E6FFE39C45D7}"/>
  </w:font>
  <w:font w:name="??">
    <w:altName w:val="DejaVu Math TeX Gyre"/>
    <w:panose1 w:val="00000000000000000000"/>
    <w:charset w:val="00"/>
    <w:family w:val="auto"/>
    <w:pitch w:val="default"/>
    <w:sig w:usb0="00000000" w:usb1="00000000" w:usb2="00000000" w:usb3="00000000" w:csb0="00000001" w:csb1="00000000"/>
  </w:font>
  <w:font w:name="DejaVu Math TeX Gyre">
    <w:panose1 w:val="02000503000000000000"/>
    <w:charset w:val="00"/>
    <w:family w:val="auto"/>
    <w:pitch w:val="default"/>
    <w:sig w:usb0="A10000EF" w:usb1="4201F9EE" w:usb2="02000000" w:usb3="00000000" w:csb0="60000193" w:csb1="0DD4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OTYzYjQ5ZWNmMTA5YTEzZjJiMTFkZmFiM2U3ZmEifQ=="/>
    <w:docVar w:name="KSO_WPS_MARK_KEY" w:val="76f0c892-2f7f-4c6e-b492-2f252c41f9c6"/>
  </w:docVars>
  <w:rsids>
    <w:rsidRoot w:val="F77F09F4"/>
    <w:rsid w:val="00212B3B"/>
    <w:rsid w:val="003518EE"/>
    <w:rsid w:val="004C37F4"/>
    <w:rsid w:val="006462FD"/>
    <w:rsid w:val="008F7B3D"/>
    <w:rsid w:val="00AF513F"/>
    <w:rsid w:val="00BC4D7D"/>
    <w:rsid w:val="00C6637B"/>
    <w:rsid w:val="00D65E5D"/>
    <w:rsid w:val="00D7349D"/>
    <w:rsid w:val="00E53254"/>
    <w:rsid w:val="00F67A40"/>
    <w:rsid w:val="37173543"/>
    <w:rsid w:val="385F9722"/>
    <w:rsid w:val="3FF76880"/>
    <w:rsid w:val="6BDB75D7"/>
    <w:rsid w:val="70F5264F"/>
    <w:rsid w:val="7AB7FF50"/>
    <w:rsid w:val="7BFEB0DB"/>
    <w:rsid w:val="7D7EBF47"/>
    <w:rsid w:val="7DBC1E29"/>
    <w:rsid w:val="7E64715E"/>
    <w:rsid w:val="C66FB38E"/>
    <w:rsid w:val="CB7B3164"/>
    <w:rsid w:val="CEFD3F3D"/>
    <w:rsid w:val="DD7EAA53"/>
    <w:rsid w:val="EA3F77F2"/>
    <w:rsid w:val="EEFE5989"/>
    <w:rsid w:val="EFCF3EAE"/>
    <w:rsid w:val="EFFBEBBB"/>
    <w:rsid w:val="EFFF92FD"/>
    <w:rsid w:val="F5B764A2"/>
    <w:rsid w:val="F77F09F4"/>
    <w:rsid w:val="F7DE28AB"/>
    <w:rsid w:val="FE7F4959"/>
    <w:rsid w:val="FF7732B2"/>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semiHidden/>
    <w:qFormat/>
    <w:locked/>
    <w:uiPriority w:val="99"/>
    <w:rPr>
      <w:rFonts w:ascii="Times New Roman" w:hAnsi="Times New Roman" w:cs="Times New Roman"/>
      <w:sz w:val="18"/>
      <w:szCs w:val="18"/>
    </w:rPr>
  </w:style>
  <w:style w:type="character" w:customStyle="1" w:styleId="9">
    <w:name w:val="Header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1021</Words>
  <Characters>1237</Characters>
  <Lines>0</Lines>
  <Paragraphs>0</Paragraphs>
  <TotalTime>4</TotalTime>
  <ScaleCrop>false</ScaleCrop>
  <LinksUpToDate>false</LinksUpToDate>
  <CharactersWithSpaces>1262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2022-03-12T11:16:00Z</dcterms:created>
  <dc:creator>user</dc:creator>
  <cp:lastModifiedBy>刘璇</cp:lastModifiedBy>
  <cp:lastPrinted>2022-03-26T18:01:00Z</cp:lastPrinted>
  <dcterms:modified xsi:type="dcterms:W3CDTF">2024-05-15T12:49:59Z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D7E30CD5AF35448297B40CD3D2119668</vt:lpwstr>
  </property>
</Properties>
</file>