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36"/>
          <w:szCs w:val="36"/>
          <w:highlight w:val="none"/>
        </w:rPr>
      </w:pPr>
      <w:r>
        <w:rPr>
          <w:rFonts w:hint="eastAsia" w:ascii="方正小标宋简体" w:hAnsi="黑体" w:eastAsia="方正小标宋简体" w:cs="方正小标宋简体"/>
          <w:sz w:val="36"/>
          <w:szCs w:val="36"/>
          <w:highlight w:val="none"/>
        </w:rPr>
        <w:t>项目支出绩效自评表</w:t>
      </w:r>
    </w:p>
    <w:p>
      <w:pPr>
        <w:spacing w:line="480" w:lineRule="exact"/>
        <w:jc w:val="center"/>
        <w:rPr>
          <w:rFonts w:ascii="仿宋_GB2312" w:hAnsi="??" w:eastAsia="仿宋_GB2312"/>
          <w:sz w:val="28"/>
          <w:szCs w:val="28"/>
          <w:highlight w:val="none"/>
        </w:rPr>
      </w:pPr>
      <w:r>
        <w:rPr>
          <w:rFonts w:hint="eastAsia" w:ascii="仿宋_GB2312" w:hAnsi="??" w:eastAsia="仿宋_GB2312" w:cs="仿宋_GB2312"/>
          <w:sz w:val="28"/>
          <w:szCs w:val="28"/>
          <w:highlight w:val="none"/>
        </w:rPr>
        <w:t>（</w:t>
      </w:r>
      <w:r>
        <w:rPr>
          <w:rFonts w:hint="eastAsia" w:ascii="仿宋_GB2312" w:hAnsi="??" w:eastAsia="仿宋_GB2312" w:cs="仿宋_GB2312"/>
          <w:sz w:val="28"/>
          <w:szCs w:val="28"/>
          <w:highlight w:val="none"/>
          <w:lang w:val="en-US" w:eastAsia="zh-CN"/>
        </w:rPr>
        <w:t>2023</w:t>
      </w:r>
      <w:r>
        <w:rPr>
          <w:rFonts w:hint="eastAsia" w:ascii="仿宋_GB2312" w:hAnsi="??" w:eastAsia="仿宋_GB2312" w:cs="仿宋_GB2312"/>
          <w:sz w:val="28"/>
          <w:szCs w:val="28"/>
          <w:highlight w:val="none"/>
        </w:rPr>
        <w:t>年度）</w:t>
      </w:r>
    </w:p>
    <w:p>
      <w:pPr>
        <w:spacing w:line="240" w:lineRule="exact"/>
        <w:rPr>
          <w:rFonts w:ascii="仿宋_GB2312" w:hAnsi="??" w:eastAsia="仿宋_GB2312"/>
          <w:sz w:val="30"/>
          <w:szCs w:val="30"/>
          <w:highlight w:val="none"/>
        </w:rPr>
      </w:pPr>
    </w:p>
    <w:tbl>
      <w:tblPr>
        <w:tblStyle w:val="5"/>
        <w:tblW w:w="90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420"/>
        <w:gridCol w:w="426"/>
        <w:gridCol w:w="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项目名称</w:t>
            </w:r>
          </w:p>
        </w:tc>
        <w:tc>
          <w:tcPr>
            <w:tcW w:w="7478" w:type="dxa"/>
            <w:gridSpan w:val="1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北京市农业农村局“接诉即办”工作运行保障经费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主管部门</w:t>
            </w:r>
          </w:p>
        </w:tc>
        <w:tc>
          <w:tcPr>
            <w:tcW w:w="4091" w:type="dxa"/>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北京市农业农村局</w:t>
            </w:r>
          </w:p>
        </w:tc>
        <w:tc>
          <w:tcPr>
            <w:tcW w:w="112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实施单位</w:t>
            </w:r>
          </w:p>
        </w:tc>
        <w:tc>
          <w:tcPr>
            <w:tcW w:w="2260" w:type="dxa"/>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bookmarkStart w:id="0" w:name="_GoBack"/>
            <w:r>
              <w:rPr>
                <w:rFonts w:hint="eastAsia" w:ascii="仿宋_GB2312" w:hAnsi="仿宋_GB2312" w:eastAsia="仿宋_GB2312" w:cs="仿宋_GB2312"/>
                <w:kern w:val="0"/>
                <w:highlight w:val="none"/>
              </w:rPr>
              <w:t>北京市数字农业农村促进中心</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项目负责人</w:t>
            </w:r>
          </w:p>
        </w:tc>
        <w:tc>
          <w:tcPr>
            <w:tcW w:w="4091" w:type="dxa"/>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李显友</w:t>
            </w:r>
          </w:p>
        </w:tc>
        <w:tc>
          <w:tcPr>
            <w:tcW w:w="112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联系电话</w:t>
            </w:r>
          </w:p>
        </w:tc>
        <w:tc>
          <w:tcPr>
            <w:tcW w:w="2260" w:type="dxa"/>
            <w:gridSpan w:val="5"/>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仿宋_GB2312" w:eastAsia="仿宋_GB2312" w:cs="仿宋_GB2312"/>
                <w:kern w:val="0"/>
                <w:highlight w:val="none"/>
              </w:rPr>
            </w:pPr>
            <w:r>
              <w:rPr>
                <w:rFonts w:hint="eastAsia" w:ascii="仿宋_GB2312" w:hAnsi="仿宋_GB2312" w:eastAsia="仿宋_GB2312" w:cs="仿宋_GB2312"/>
                <w:kern w:val="0"/>
                <w:highlight w:val="none"/>
                <w:lang w:eastAsia="zh-CN"/>
              </w:rPr>
              <w:t>5</w:t>
            </w:r>
            <w:r>
              <w:rPr>
                <w:rFonts w:hint="eastAsia" w:ascii="仿宋_GB2312" w:hAnsi="仿宋_GB2312" w:eastAsia="仿宋_GB2312" w:cs="仿宋_GB2312"/>
                <w:kern w:val="0"/>
                <w:highlight w:val="none"/>
                <w:lang w:val="en-US" w:eastAsia="zh-CN"/>
              </w:rPr>
              <w:t>5525427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项目资金</w:t>
            </w:r>
            <w:r>
              <w:rPr>
                <w:rFonts w:hint="eastAsia" w:ascii="仿宋_GB2312" w:hAnsi="仿宋_GB2312" w:eastAsia="仿宋_GB2312" w:cs="仿宋_GB2312"/>
                <w:kern w:val="0"/>
                <w:highlight w:val="none"/>
              </w:rPr>
              <w:br w:type="textWrapping"/>
            </w:r>
            <w:r>
              <w:rPr>
                <w:rFonts w:hint="eastAsia" w:ascii="仿宋_GB2312" w:hAnsi="仿宋_GB2312" w:eastAsia="仿宋_GB2312" w:cs="仿宋_GB2312"/>
                <w:kern w:val="0"/>
                <w:highlight w:val="none"/>
              </w:rPr>
              <w:t>（万元）</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c>
          <w:tcPr>
            <w:tcW w:w="112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年初预</w:t>
            </w:r>
          </w:p>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算数</w:t>
            </w:r>
          </w:p>
        </w:tc>
        <w:tc>
          <w:tcPr>
            <w:tcW w:w="11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全年预</w:t>
            </w:r>
          </w:p>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算数</w:t>
            </w:r>
          </w:p>
        </w:tc>
        <w:tc>
          <w:tcPr>
            <w:tcW w:w="112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全年</w:t>
            </w:r>
          </w:p>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执行数</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分值</w:t>
            </w:r>
          </w:p>
        </w:tc>
        <w:tc>
          <w:tcPr>
            <w:tcW w:w="84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执行率</w:t>
            </w:r>
          </w:p>
        </w:tc>
        <w:tc>
          <w:tcPr>
            <w:tcW w:w="71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c>
          <w:tcPr>
            <w:tcW w:w="18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年度资金总额</w:t>
            </w:r>
          </w:p>
        </w:tc>
        <w:tc>
          <w:tcPr>
            <w:tcW w:w="112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rPr>
              <w:t>86.5505</w:t>
            </w:r>
            <w:r>
              <w:rPr>
                <w:rFonts w:hint="eastAsia" w:ascii="仿宋_GB2312" w:hAnsi="仿宋_GB2312" w:eastAsia="仿宋_GB2312" w:cs="仿宋_GB2312"/>
                <w:kern w:val="0"/>
                <w:highlight w:val="none"/>
                <w:lang w:val="en-US" w:eastAsia="zh-CN"/>
              </w:rPr>
              <w:t>00</w:t>
            </w:r>
          </w:p>
        </w:tc>
        <w:tc>
          <w:tcPr>
            <w:tcW w:w="11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rPr>
              <w:t>86.5505</w:t>
            </w:r>
            <w:r>
              <w:rPr>
                <w:rFonts w:hint="eastAsia" w:ascii="仿宋_GB2312" w:hAnsi="仿宋_GB2312" w:eastAsia="仿宋_GB2312" w:cs="仿宋_GB2312"/>
                <w:kern w:val="0"/>
                <w:highlight w:val="none"/>
                <w:lang w:val="en-US" w:eastAsia="zh-CN"/>
              </w:rPr>
              <w:t>00</w:t>
            </w:r>
          </w:p>
        </w:tc>
        <w:tc>
          <w:tcPr>
            <w:tcW w:w="112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86.450500</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10</w:t>
            </w:r>
          </w:p>
        </w:tc>
        <w:tc>
          <w:tcPr>
            <w:tcW w:w="84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99.88%</w:t>
            </w:r>
          </w:p>
        </w:tc>
        <w:tc>
          <w:tcPr>
            <w:tcW w:w="71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c>
          <w:tcPr>
            <w:tcW w:w="18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其中：当年财政</w:t>
            </w:r>
          </w:p>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拨款</w:t>
            </w:r>
          </w:p>
        </w:tc>
        <w:tc>
          <w:tcPr>
            <w:tcW w:w="112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rPr>
              <w:t>86.5505</w:t>
            </w:r>
            <w:r>
              <w:rPr>
                <w:rFonts w:hint="eastAsia" w:ascii="仿宋_GB2312" w:hAnsi="仿宋_GB2312" w:eastAsia="仿宋_GB2312" w:cs="仿宋_GB2312"/>
                <w:kern w:val="0"/>
                <w:highlight w:val="none"/>
                <w:lang w:val="en-US" w:eastAsia="zh-CN"/>
              </w:rPr>
              <w:t>00</w:t>
            </w:r>
          </w:p>
        </w:tc>
        <w:tc>
          <w:tcPr>
            <w:tcW w:w="11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rPr>
              <w:t>86.5505</w:t>
            </w:r>
            <w:r>
              <w:rPr>
                <w:rFonts w:hint="eastAsia" w:ascii="仿宋_GB2312" w:hAnsi="仿宋_GB2312" w:eastAsia="仿宋_GB2312" w:cs="仿宋_GB2312"/>
                <w:kern w:val="0"/>
                <w:highlight w:val="none"/>
                <w:lang w:val="en-US" w:eastAsia="zh-CN"/>
              </w:rPr>
              <w:t>00</w:t>
            </w:r>
          </w:p>
        </w:tc>
        <w:tc>
          <w:tcPr>
            <w:tcW w:w="112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lang w:val="en-US" w:eastAsia="zh-CN"/>
              </w:rPr>
              <w:t>86.450500</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w:t>
            </w:r>
          </w:p>
        </w:tc>
        <w:tc>
          <w:tcPr>
            <w:tcW w:w="84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lang w:val="en-US" w:eastAsia="zh-CN"/>
              </w:rPr>
              <w:t>99.88%</w:t>
            </w:r>
          </w:p>
        </w:tc>
        <w:tc>
          <w:tcPr>
            <w:tcW w:w="71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c>
          <w:tcPr>
            <w:tcW w:w="18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 xml:space="preserve"> 上年结转资金</w:t>
            </w:r>
          </w:p>
        </w:tc>
        <w:tc>
          <w:tcPr>
            <w:tcW w:w="112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0</w:t>
            </w:r>
          </w:p>
        </w:tc>
        <w:tc>
          <w:tcPr>
            <w:tcW w:w="11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0</w:t>
            </w:r>
          </w:p>
        </w:tc>
        <w:tc>
          <w:tcPr>
            <w:tcW w:w="112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0</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w:t>
            </w:r>
          </w:p>
        </w:tc>
        <w:tc>
          <w:tcPr>
            <w:tcW w:w="84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w:t>
            </w:r>
          </w:p>
        </w:tc>
        <w:tc>
          <w:tcPr>
            <w:tcW w:w="71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c>
          <w:tcPr>
            <w:tcW w:w="18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 xml:space="preserve">  其他资金</w:t>
            </w:r>
          </w:p>
        </w:tc>
        <w:tc>
          <w:tcPr>
            <w:tcW w:w="112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0</w:t>
            </w:r>
          </w:p>
        </w:tc>
        <w:tc>
          <w:tcPr>
            <w:tcW w:w="1132"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0</w:t>
            </w:r>
          </w:p>
        </w:tc>
        <w:tc>
          <w:tcPr>
            <w:tcW w:w="112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0</w:t>
            </w:r>
          </w:p>
        </w:tc>
        <w:tc>
          <w:tcPr>
            <w:tcW w:w="7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w:t>
            </w:r>
          </w:p>
        </w:tc>
        <w:tc>
          <w:tcPr>
            <w:tcW w:w="84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c>
          <w:tcPr>
            <w:tcW w:w="71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年度总体目标</w:t>
            </w:r>
          </w:p>
        </w:tc>
        <w:tc>
          <w:tcPr>
            <w:tcW w:w="5066" w:type="dxa"/>
            <w:gridSpan w:val="6"/>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预期目标</w:t>
            </w:r>
          </w:p>
        </w:tc>
        <w:tc>
          <w:tcPr>
            <w:tcW w:w="3387"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c>
          <w:tcPr>
            <w:tcW w:w="5066" w:type="dxa"/>
            <w:gridSpan w:val="6"/>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left"/>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负责接诉即办平台的管理、运行、维护，全时段为诉求人提供诉求咨询、接收、查询和反馈服务，承担诉求的转办、交办、督办和数据汇总、分析研判等具体工作。定期汇总12345市中心全市农业农村领域内的“接诉即办”诉求数据，并根据委局处室、单位职能职责进行分类。12345分中心分类后，根据各处室、单位的职能职责将涉及其专业领域相关诉求数据定期发送至相应处室、单位，由相应处室、单位适时开展研究分析。</w:t>
            </w:r>
          </w:p>
          <w:p>
            <w:pPr>
              <w:widowControl/>
              <w:spacing w:line="240" w:lineRule="exact"/>
              <w:jc w:val="left"/>
              <w:rPr>
                <w:rFonts w:hint="eastAsia" w:ascii="仿宋_GB2312" w:hAnsi="仿宋_GB2312" w:eastAsia="仿宋_GB2312" w:cs="仿宋_GB2312"/>
                <w:kern w:val="0"/>
                <w:highlight w:val="none"/>
              </w:rPr>
            </w:pPr>
          </w:p>
        </w:tc>
        <w:tc>
          <w:tcPr>
            <w:tcW w:w="3387"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ind w:firstLine="0" w:firstLineChars="0"/>
              <w:jc w:val="left"/>
              <w:rPr>
                <w:rFonts w:hint="eastAsia" w:ascii="仿宋_GB2312" w:hAnsi="仿宋_GB2312" w:eastAsia="仿宋_GB2312" w:cs="仿宋_GB2312"/>
                <w:kern w:val="0"/>
                <w:highlight w:val="none"/>
                <w:lang w:eastAsia="zh-CN"/>
              </w:rPr>
            </w:pPr>
            <w:r>
              <w:rPr>
                <w:rFonts w:hint="eastAsia" w:ascii="仿宋_GB2312" w:hAnsi="仿宋_GB2312" w:eastAsia="仿宋_GB2312" w:cs="仿宋_GB2312"/>
                <w:kern w:val="0"/>
                <w:highlight w:val="none"/>
                <w:lang w:val="en-US" w:eastAsia="zh-CN"/>
              </w:rPr>
              <w:t>2023年，完成</w:t>
            </w:r>
            <w:r>
              <w:rPr>
                <w:rFonts w:hint="eastAsia" w:ascii="仿宋_GB2312" w:hAnsi="仿宋_GB2312" w:eastAsia="仿宋_GB2312" w:cs="仿宋_GB2312"/>
                <w:kern w:val="0"/>
                <w:highlight w:val="none"/>
              </w:rPr>
              <w:t>接诉即办平台的管理、运行、维护，全时段为诉求人提供诉求咨询、接收、查询和反馈服务，承担诉求的转办、交办、督办和数据汇总、分析研判等具体工作。</w:t>
            </w:r>
            <w:r>
              <w:rPr>
                <w:rFonts w:hint="eastAsia" w:ascii="仿宋_GB2312" w:hAnsi="仿宋_GB2312" w:eastAsia="仿宋_GB2312" w:cs="仿宋_GB2312"/>
                <w:kern w:val="0"/>
                <w:highlight w:val="none"/>
                <w:lang w:val="en-US" w:eastAsia="zh-CN"/>
              </w:rPr>
              <w:t>已</w:t>
            </w:r>
            <w:r>
              <w:rPr>
                <w:rFonts w:hint="eastAsia" w:ascii="仿宋_GB2312" w:hAnsi="仿宋_GB2312" w:eastAsia="仿宋_GB2312" w:cs="仿宋_GB2312"/>
                <w:kern w:val="0"/>
                <w:highlight w:val="none"/>
              </w:rPr>
              <w:t>定期汇总12345市中心全市农业农村领域内的“接诉即办”诉求数据，并根据委局处室、单位职能职责进行</w:t>
            </w:r>
            <w:r>
              <w:rPr>
                <w:rFonts w:hint="eastAsia" w:ascii="仿宋_GB2312" w:hAnsi="仿宋_GB2312" w:eastAsia="仿宋_GB2312" w:cs="仿宋_GB2312"/>
                <w:kern w:val="0"/>
                <w:highlight w:val="none"/>
                <w:lang w:val="en-US" w:eastAsia="zh-CN"/>
              </w:rPr>
              <w:t>了</w:t>
            </w:r>
            <w:r>
              <w:rPr>
                <w:rFonts w:hint="eastAsia" w:ascii="仿宋_GB2312" w:hAnsi="仿宋_GB2312" w:eastAsia="仿宋_GB2312" w:cs="仿宋_GB2312"/>
                <w:kern w:val="0"/>
                <w:highlight w:val="none"/>
              </w:rPr>
              <w:t>分类。12345分中心分类后，根据各处室、单位的职能职责将涉及其专业领域相关诉求数据定期发送至相应处室、单位，由相应处室、单位适时开展</w:t>
            </w:r>
            <w:r>
              <w:rPr>
                <w:rFonts w:hint="eastAsia" w:ascii="仿宋_GB2312" w:hAnsi="仿宋_GB2312" w:eastAsia="仿宋_GB2312" w:cs="仿宋_GB2312"/>
                <w:kern w:val="0"/>
                <w:highlight w:val="none"/>
                <w:lang w:val="en-US" w:eastAsia="zh-CN"/>
              </w:rPr>
              <w:t>了</w:t>
            </w:r>
            <w:r>
              <w:rPr>
                <w:rFonts w:hint="eastAsia" w:ascii="仿宋_GB2312" w:hAnsi="仿宋_GB2312" w:eastAsia="仿宋_GB2312" w:cs="仿宋_GB2312"/>
                <w:kern w:val="0"/>
                <w:highlight w:val="none"/>
              </w:rPr>
              <w:t>研究分析。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绩</w:t>
            </w:r>
            <w:r>
              <w:rPr>
                <w:rFonts w:hint="eastAsia" w:ascii="仿宋_GB2312" w:hAnsi="仿宋_GB2312" w:eastAsia="仿宋_GB2312" w:cs="仿宋_GB2312"/>
                <w:kern w:val="0"/>
                <w:highlight w:val="none"/>
              </w:rPr>
              <w:br w:type="textWrapping"/>
            </w:r>
            <w:r>
              <w:rPr>
                <w:rFonts w:hint="eastAsia" w:ascii="仿宋_GB2312" w:hAnsi="仿宋_GB2312" w:eastAsia="仿宋_GB2312" w:cs="仿宋_GB2312"/>
                <w:kern w:val="0"/>
                <w:highlight w:val="none"/>
              </w:rPr>
              <w:t>效</w:t>
            </w:r>
            <w:r>
              <w:rPr>
                <w:rFonts w:hint="eastAsia" w:ascii="仿宋_GB2312" w:hAnsi="仿宋_GB2312" w:eastAsia="仿宋_GB2312" w:cs="仿宋_GB2312"/>
                <w:kern w:val="0"/>
                <w:highlight w:val="none"/>
              </w:rPr>
              <w:br w:type="textWrapping"/>
            </w:r>
            <w:r>
              <w:rPr>
                <w:rFonts w:hint="eastAsia" w:ascii="仿宋_GB2312" w:hAnsi="仿宋_GB2312" w:eastAsia="仿宋_GB2312" w:cs="仿宋_GB2312"/>
                <w:kern w:val="0"/>
                <w:highlight w:val="none"/>
              </w:rPr>
              <w:t>指</w:t>
            </w:r>
            <w:r>
              <w:rPr>
                <w:rFonts w:hint="eastAsia" w:ascii="仿宋_GB2312" w:hAnsi="仿宋_GB2312" w:eastAsia="仿宋_GB2312" w:cs="仿宋_GB2312"/>
                <w:kern w:val="0"/>
                <w:highlight w:val="none"/>
              </w:rPr>
              <w:br w:type="textWrapping"/>
            </w:r>
            <w:r>
              <w:rPr>
                <w:rFonts w:hint="eastAsia" w:ascii="仿宋_GB2312" w:hAnsi="仿宋_GB2312" w:eastAsia="仿宋_GB2312" w:cs="仿宋_GB2312"/>
                <w:kern w:val="0"/>
                <w:highlight w:val="none"/>
              </w:rPr>
              <w:t>标</w:t>
            </w: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一级指标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二级指标</w:t>
            </w:r>
          </w:p>
        </w:tc>
        <w:tc>
          <w:tcPr>
            <w:tcW w:w="2137"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三级指标</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年度</w:t>
            </w:r>
          </w:p>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指标值</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实际</w:t>
            </w:r>
          </w:p>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完成值</w:t>
            </w:r>
          </w:p>
        </w:tc>
        <w:tc>
          <w:tcPr>
            <w:tcW w:w="5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分值</w:t>
            </w:r>
          </w:p>
        </w:tc>
        <w:tc>
          <w:tcPr>
            <w:tcW w:w="84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得分</w:t>
            </w:r>
          </w:p>
        </w:tc>
        <w:tc>
          <w:tcPr>
            <w:tcW w:w="113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偏差原因分析及改进</w:t>
            </w:r>
          </w:p>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5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数量指标</w:t>
            </w:r>
          </w:p>
        </w:tc>
        <w:tc>
          <w:tcPr>
            <w:tcW w:w="2137"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rPr>
              <w:t>12345市民热线涉农数据处理</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w:t>
            </w:r>
            <w:r>
              <w:rPr>
                <w:rFonts w:hint="eastAsia" w:ascii="仿宋_GB2312" w:hAnsi="仿宋_GB2312" w:eastAsia="仿宋_GB2312" w:cs="仿宋_GB2312"/>
                <w:kern w:val="0"/>
                <w:highlight w:val="none"/>
              </w:rPr>
              <w:t>60</w:t>
            </w:r>
            <w:r>
              <w:rPr>
                <w:rFonts w:hint="eastAsia" w:ascii="仿宋_GB2312" w:hAnsi="仿宋_GB2312" w:eastAsia="仿宋_GB2312" w:cs="仿宋_GB2312"/>
                <w:kern w:val="0"/>
                <w:highlight w:val="none"/>
                <w:lang w:val="en-US" w:eastAsia="zh-CN"/>
              </w:rPr>
              <w:t>万条</w:t>
            </w:r>
          </w:p>
          <w:p>
            <w:pPr>
              <w:widowControl/>
              <w:spacing w:line="240" w:lineRule="exact"/>
              <w:jc w:val="center"/>
              <w:rPr>
                <w:rFonts w:hint="eastAsia" w:ascii="仿宋_GB2312" w:hAnsi="仿宋_GB2312" w:eastAsia="仿宋_GB2312" w:cs="仿宋_GB2312"/>
                <w:kern w:val="0"/>
                <w:highlight w:val="none"/>
                <w:lang w:val="en-US" w:eastAsia="zh-CN"/>
              </w:rPr>
            </w:pP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61.4288万条</w:t>
            </w:r>
          </w:p>
        </w:tc>
        <w:tc>
          <w:tcPr>
            <w:tcW w:w="5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10</w:t>
            </w:r>
          </w:p>
        </w:tc>
        <w:tc>
          <w:tcPr>
            <w:tcW w:w="84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10</w:t>
            </w:r>
          </w:p>
        </w:tc>
        <w:tc>
          <w:tcPr>
            <w:tcW w:w="113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c>
          <w:tcPr>
            <w:tcW w:w="2137"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rPr>
              <w:t>12316热线租赁</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≥1条</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1条</w:t>
            </w:r>
          </w:p>
        </w:tc>
        <w:tc>
          <w:tcPr>
            <w:tcW w:w="5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10</w:t>
            </w:r>
          </w:p>
        </w:tc>
        <w:tc>
          <w:tcPr>
            <w:tcW w:w="84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10</w:t>
            </w:r>
          </w:p>
        </w:tc>
        <w:tc>
          <w:tcPr>
            <w:tcW w:w="113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c>
          <w:tcPr>
            <w:tcW w:w="2137"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highlight w:val="none"/>
                <w:lang w:val="en-US" w:eastAsia="zh-CN"/>
              </w:rPr>
            </w:pPr>
            <w:r>
              <w:rPr>
                <w:rFonts w:hint="eastAsia" w:ascii="仿宋_GB2312" w:hAnsi="仿宋_GB2312" w:eastAsia="仿宋_GB2312" w:cs="仿宋_GB2312"/>
                <w:color w:val="000000"/>
                <w:kern w:val="0"/>
                <w:highlight w:val="none"/>
                <w:lang w:val="en-US" w:eastAsia="zh-CN"/>
              </w:rPr>
              <w:t>编写12345热线分析报告</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≥66篇</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66篇</w:t>
            </w:r>
          </w:p>
        </w:tc>
        <w:tc>
          <w:tcPr>
            <w:tcW w:w="5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10</w:t>
            </w:r>
          </w:p>
        </w:tc>
        <w:tc>
          <w:tcPr>
            <w:tcW w:w="84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10</w:t>
            </w:r>
          </w:p>
        </w:tc>
        <w:tc>
          <w:tcPr>
            <w:tcW w:w="113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质量指标</w:t>
            </w:r>
          </w:p>
        </w:tc>
        <w:tc>
          <w:tcPr>
            <w:tcW w:w="2137"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rPr>
              <w:t>市政务服务局接诉即办综合考评成绩</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≥95分</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100分</w:t>
            </w:r>
          </w:p>
        </w:tc>
        <w:tc>
          <w:tcPr>
            <w:tcW w:w="5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10</w:t>
            </w:r>
          </w:p>
        </w:tc>
        <w:tc>
          <w:tcPr>
            <w:tcW w:w="84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10</w:t>
            </w:r>
          </w:p>
        </w:tc>
        <w:tc>
          <w:tcPr>
            <w:tcW w:w="113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时效指标</w:t>
            </w:r>
          </w:p>
        </w:tc>
        <w:tc>
          <w:tcPr>
            <w:tcW w:w="2137"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rPr>
              <w:t>项目总体支出进度</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rPr>
              <w:t>＝</w:t>
            </w:r>
            <w:r>
              <w:rPr>
                <w:rFonts w:hint="eastAsia" w:ascii="仿宋_GB2312" w:hAnsi="仿宋_GB2312" w:eastAsia="仿宋_GB2312" w:cs="仿宋_GB2312"/>
                <w:kern w:val="0"/>
                <w:highlight w:val="none"/>
                <w:lang w:val="en-US" w:eastAsia="zh-CN"/>
              </w:rPr>
              <w:t>100%</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100%</w:t>
            </w:r>
          </w:p>
        </w:tc>
        <w:tc>
          <w:tcPr>
            <w:tcW w:w="5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10</w:t>
            </w:r>
          </w:p>
        </w:tc>
        <w:tc>
          <w:tcPr>
            <w:tcW w:w="84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10</w:t>
            </w:r>
          </w:p>
        </w:tc>
        <w:tc>
          <w:tcPr>
            <w:tcW w:w="113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仿宋_GB2312" w:eastAsia="仿宋_GB2312" w:cs="仿宋_GB2312"/>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成本指标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lang w:val="en-US" w:eastAsia="zh-CN"/>
              </w:rPr>
              <w:t>经济</w:t>
            </w:r>
            <w:r>
              <w:rPr>
                <w:rFonts w:hint="eastAsia" w:ascii="仿宋_GB2312" w:hAnsi="仿宋_GB2312" w:eastAsia="仿宋_GB2312" w:cs="仿宋_GB2312"/>
                <w:kern w:val="0"/>
                <w:highlight w:val="none"/>
              </w:rPr>
              <w:t>成本指标</w:t>
            </w:r>
          </w:p>
        </w:tc>
        <w:tc>
          <w:tcPr>
            <w:tcW w:w="2137"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rPr>
              <w:t>市农业农村局“接诉即办”工作运行保障经费数据处理、分析</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w:t>
            </w:r>
            <w:r>
              <w:rPr>
                <w:rFonts w:hint="eastAsia" w:ascii="仿宋_GB2312" w:hAnsi="仿宋_GB2312" w:eastAsia="仿宋_GB2312" w:cs="仿宋_GB2312"/>
                <w:kern w:val="0"/>
                <w:highlight w:val="none"/>
              </w:rPr>
              <w:t>94.29</w:t>
            </w:r>
            <w:r>
              <w:rPr>
                <w:rFonts w:hint="eastAsia" w:ascii="仿宋_GB2312" w:hAnsi="仿宋_GB2312" w:eastAsia="仿宋_GB2312" w:cs="仿宋_GB2312"/>
                <w:kern w:val="0"/>
                <w:highlight w:val="none"/>
                <w:lang w:val="en-US" w:eastAsia="zh-CN"/>
              </w:rPr>
              <w:t>万元</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81.9509万元</w:t>
            </w:r>
          </w:p>
        </w:tc>
        <w:tc>
          <w:tcPr>
            <w:tcW w:w="5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10</w:t>
            </w:r>
          </w:p>
        </w:tc>
        <w:tc>
          <w:tcPr>
            <w:tcW w:w="84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10</w:t>
            </w:r>
          </w:p>
        </w:tc>
        <w:tc>
          <w:tcPr>
            <w:tcW w:w="113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c>
          <w:tcPr>
            <w:tcW w:w="2137"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rPr>
              <w:t>12316热线电话费</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≤4.6万元</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4.5万元</w:t>
            </w:r>
          </w:p>
        </w:tc>
        <w:tc>
          <w:tcPr>
            <w:tcW w:w="5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10</w:t>
            </w:r>
          </w:p>
        </w:tc>
        <w:tc>
          <w:tcPr>
            <w:tcW w:w="84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10</w:t>
            </w:r>
          </w:p>
        </w:tc>
        <w:tc>
          <w:tcPr>
            <w:tcW w:w="113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经济效益</w:t>
            </w:r>
          </w:p>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指标</w:t>
            </w:r>
          </w:p>
        </w:tc>
        <w:tc>
          <w:tcPr>
            <w:tcW w:w="2137"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rPr>
              <w:t>续为农民挽回经济损失，保护农民的合法权益；提高农（市）民的农业种养殖技术，增加农民收入，提高生活水平。</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优</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rPr>
              <w:t>优</w:t>
            </w:r>
          </w:p>
        </w:tc>
        <w:tc>
          <w:tcPr>
            <w:tcW w:w="5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5</w:t>
            </w:r>
          </w:p>
        </w:tc>
        <w:tc>
          <w:tcPr>
            <w:tcW w:w="84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5</w:t>
            </w:r>
          </w:p>
        </w:tc>
        <w:tc>
          <w:tcPr>
            <w:tcW w:w="113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社会效益</w:t>
            </w:r>
          </w:p>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指标</w:t>
            </w:r>
          </w:p>
        </w:tc>
        <w:tc>
          <w:tcPr>
            <w:tcW w:w="2137"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rPr>
              <w:t>扩大委局接诉即办分中心市民心中的认知度，不断增强服务意识,提高政策影响力</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优</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rPr>
              <w:t>优</w:t>
            </w:r>
          </w:p>
        </w:tc>
        <w:tc>
          <w:tcPr>
            <w:tcW w:w="5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5</w:t>
            </w:r>
          </w:p>
        </w:tc>
        <w:tc>
          <w:tcPr>
            <w:tcW w:w="84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5</w:t>
            </w:r>
          </w:p>
        </w:tc>
        <w:tc>
          <w:tcPr>
            <w:tcW w:w="113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满意度</w:t>
            </w:r>
          </w:p>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r>
              <w:rPr>
                <w:rFonts w:hint="eastAsia" w:ascii="仿宋_GB2312" w:hAnsi="仿宋_GB2312" w:eastAsia="仿宋_GB2312" w:cs="仿宋_GB2312"/>
                <w:kern w:val="0"/>
                <w:highlight w:val="none"/>
              </w:rPr>
              <w:t>服务对象满意度</w:t>
            </w:r>
            <w:r>
              <w:rPr>
                <w:rFonts w:hint="eastAsia" w:ascii="仿宋_GB2312" w:hAnsi="仿宋_GB2312" w:eastAsia="仿宋_GB2312" w:cs="仿宋_GB2312"/>
                <w:kern w:val="0"/>
                <w:highlight w:val="none"/>
                <w:lang w:val="en-US" w:eastAsia="zh-CN"/>
              </w:rPr>
              <w:t>指</w:t>
            </w:r>
            <w:r>
              <w:rPr>
                <w:rFonts w:hint="eastAsia" w:ascii="仿宋_GB2312" w:hAnsi="仿宋_GB2312" w:eastAsia="仿宋_GB2312" w:cs="仿宋_GB2312"/>
                <w:kern w:val="0"/>
                <w:highlight w:val="none"/>
              </w:rPr>
              <w:t>标</w:t>
            </w:r>
          </w:p>
        </w:tc>
        <w:tc>
          <w:tcPr>
            <w:tcW w:w="2137"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rPr>
              <w:t>市民满意度</w:t>
            </w:r>
          </w:p>
        </w:tc>
        <w:tc>
          <w:tcPr>
            <w:tcW w:w="84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≥95%</w:t>
            </w:r>
          </w:p>
        </w:tc>
        <w:tc>
          <w:tcPr>
            <w:tcW w:w="84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99.79%</w:t>
            </w:r>
          </w:p>
        </w:tc>
        <w:tc>
          <w:tcPr>
            <w:tcW w:w="5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10</w:t>
            </w:r>
          </w:p>
        </w:tc>
        <w:tc>
          <w:tcPr>
            <w:tcW w:w="84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lang w:val="en-US" w:eastAsia="zh-CN"/>
              </w:rPr>
            </w:pPr>
            <w:r>
              <w:rPr>
                <w:rFonts w:hint="eastAsia" w:ascii="仿宋_GB2312" w:hAnsi="仿宋_GB2312" w:eastAsia="仿宋_GB2312" w:cs="仿宋_GB2312"/>
                <w:kern w:val="0"/>
                <w:highlight w:val="none"/>
                <w:lang w:val="en-US" w:eastAsia="zh-CN"/>
              </w:rPr>
              <w:t>10</w:t>
            </w:r>
          </w:p>
        </w:tc>
        <w:tc>
          <w:tcPr>
            <w:tcW w:w="113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rPr>
              <w:t>总分</w:t>
            </w:r>
          </w:p>
        </w:tc>
        <w:tc>
          <w:tcPr>
            <w:tcW w:w="563"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highlight w:val="none"/>
              </w:rPr>
            </w:pPr>
            <w:r>
              <w:rPr>
                <w:rFonts w:hint="eastAsia" w:ascii="仿宋_GB2312" w:hAnsi="仿宋_GB2312" w:eastAsia="仿宋_GB2312" w:cs="仿宋_GB2312"/>
                <w:color w:val="000000"/>
                <w:kern w:val="0"/>
                <w:highlight w:val="none"/>
              </w:rPr>
              <w:t>100</w:t>
            </w:r>
          </w:p>
        </w:tc>
        <w:tc>
          <w:tcPr>
            <w:tcW w:w="84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highlight w:val="none"/>
                <w:lang w:val="en-US" w:eastAsia="zh-CN"/>
              </w:rPr>
            </w:pPr>
            <w:r>
              <w:rPr>
                <w:rFonts w:hint="eastAsia" w:ascii="仿宋_GB2312" w:hAnsi="仿宋_GB2312" w:eastAsia="仿宋_GB2312" w:cs="仿宋_GB2312"/>
                <w:color w:val="000000"/>
                <w:kern w:val="0"/>
                <w:highlight w:val="none"/>
                <w:lang w:val="en-US" w:eastAsia="zh-CN"/>
              </w:rPr>
              <w:t>99.9</w:t>
            </w:r>
            <w:r>
              <w:rPr>
                <w:rFonts w:hint="eastAsia" w:ascii="仿宋_GB2312" w:hAnsi="仿宋_GB2312" w:eastAsia="仿宋_GB2312" w:cs="仿宋_GB2312"/>
                <w:color w:val="000000"/>
                <w:kern w:val="0"/>
                <w:highlight w:val="none"/>
                <w:lang w:val="en-US" w:eastAsia="zh-CN"/>
              </w:rPr>
              <w:t>9</w:t>
            </w:r>
          </w:p>
        </w:tc>
        <w:tc>
          <w:tcPr>
            <w:tcW w:w="1136"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highlight w:val="none"/>
              </w:rPr>
            </w:pPr>
          </w:p>
        </w:tc>
      </w:tr>
    </w:tbl>
    <w:p>
      <w:pPr>
        <w:spacing w:line="520" w:lineRule="exact"/>
        <w:ind w:firstLine="420" w:firstLineChars="200"/>
        <w:rPr>
          <w:highlight w:val="none"/>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14F70AB-F66E-45B0-973A-352BB1F06C7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20EED2D7-3C81-402C-9371-10DACE769470}"/>
  </w:font>
  <w:font w:name="Cambria">
    <w:panose1 w:val="02040503050406030204"/>
    <w:charset w:val="00"/>
    <w:family w:val="roman"/>
    <w:pitch w:val="default"/>
    <w:sig w:usb0="E00006FF" w:usb1="420024FF" w:usb2="02000000" w:usb3="00000000" w:csb0="2000019F" w:csb1="00000000"/>
  </w:font>
  <w:font w:name="方正黑体_GBK">
    <w:panose1 w:val="03000509000000000000"/>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embedRegular r:id="rId3" w:fontKey="{A3C497BA-C949-4A77-A5EB-633E15D0D6D4}"/>
  </w:font>
  <w:font w:name="仿宋_GB2312">
    <w:panose1 w:val="02010609030101010101"/>
    <w:charset w:val="86"/>
    <w:family w:val="modern"/>
    <w:pitch w:val="default"/>
    <w:sig w:usb0="00000001" w:usb1="080E0000" w:usb2="00000000" w:usb3="00000000" w:csb0="00040000" w:csb1="00000000"/>
    <w:embedRegular r:id="rId4" w:fontKey="{B75B0C02-E15F-4E52-BDCF-2493D91F93D5}"/>
  </w:font>
  <w:font w:name="??">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4OTYzYjQ5ZWNmMTA5YTEzZjJiMTFkZmFiM2U3ZmEifQ=="/>
    <w:docVar w:name="KSO_WPS_MARK_KEY" w:val="0abd0965-024e-4090-9624-8694bc18a5f7"/>
  </w:docVars>
  <w:rsids>
    <w:rsidRoot w:val="F77F09F4"/>
    <w:rsid w:val="00212B3B"/>
    <w:rsid w:val="003518EE"/>
    <w:rsid w:val="004C37F4"/>
    <w:rsid w:val="006462FD"/>
    <w:rsid w:val="008F7B3D"/>
    <w:rsid w:val="00AF513F"/>
    <w:rsid w:val="00BC4D7D"/>
    <w:rsid w:val="00C6637B"/>
    <w:rsid w:val="00D65E5D"/>
    <w:rsid w:val="00D7349D"/>
    <w:rsid w:val="00E53254"/>
    <w:rsid w:val="00F67A40"/>
    <w:rsid w:val="02F54FC6"/>
    <w:rsid w:val="0600615C"/>
    <w:rsid w:val="10C06C14"/>
    <w:rsid w:val="114E291C"/>
    <w:rsid w:val="18046D66"/>
    <w:rsid w:val="2CC17B44"/>
    <w:rsid w:val="318E7999"/>
    <w:rsid w:val="33527747"/>
    <w:rsid w:val="33A87E96"/>
    <w:rsid w:val="37173543"/>
    <w:rsid w:val="3FF76880"/>
    <w:rsid w:val="447D039C"/>
    <w:rsid w:val="4D695962"/>
    <w:rsid w:val="4FFA1E2F"/>
    <w:rsid w:val="558A2919"/>
    <w:rsid w:val="5B264E92"/>
    <w:rsid w:val="5EE017FC"/>
    <w:rsid w:val="65F53DDF"/>
    <w:rsid w:val="65FA13F5"/>
    <w:rsid w:val="698E2580"/>
    <w:rsid w:val="6DAE4AE4"/>
    <w:rsid w:val="6FD42CB7"/>
    <w:rsid w:val="70585696"/>
    <w:rsid w:val="7AB7FF50"/>
    <w:rsid w:val="7B7610C6"/>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Heading 2 Char"/>
    <w:basedOn w:val="6"/>
    <w:link w:val="2"/>
    <w:semiHidden/>
    <w:qFormat/>
    <w:locked/>
    <w:uiPriority w:val="99"/>
    <w:rPr>
      <w:rFonts w:ascii="Cambria" w:hAnsi="Cambria" w:eastAsia="宋体" w:cs="Cambria"/>
      <w:b/>
      <w:bCs/>
      <w:sz w:val="32"/>
      <w:szCs w:val="32"/>
    </w:rPr>
  </w:style>
  <w:style w:type="character" w:customStyle="1" w:styleId="8">
    <w:name w:val="Footer Char"/>
    <w:basedOn w:val="6"/>
    <w:link w:val="3"/>
    <w:semiHidden/>
    <w:qFormat/>
    <w:locked/>
    <w:uiPriority w:val="99"/>
    <w:rPr>
      <w:rFonts w:ascii="Times New Roman" w:hAnsi="Times New Roman" w:cs="Times New Roman"/>
      <w:sz w:val="18"/>
      <w:szCs w:val="18"/>
    </w:rPr>
  </w:style>
  <w:style w:type="character" w:customStyle="1" w:styleId="9">
    <w:name w:val="Header Char"/>
    <w:basedOn w:val="6"/>
    <w:link w:val="4"/>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2</Pages>
  <Words>893</Words>
  <Characters>1061</Characters>
  <Lines>0</Lines>
  <Paragraphs>0</Paragraphs>
  <TotalTime>39</TotalTime>
  <ScaleCrop>false</ScaleCrop>
  <LinksUpToDate>false</LinksUpToDate>
  <CharactersWithSpaces>1064</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刘璇</cp:lastModifiedBy>
  <cp:lastPrinted>2022-03-24T10:01:00Z</cp:lastPrinted>
  <dcterms:modified xsi:type="dcterms:W3CDTF">2024-05-17T07:17:40Z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1DA841C108E24BCEA3522E037EF84E1D</vt:lpwstr>
  </property>
</Properties>
</file>