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 </w:t>
      </w:r>
      <w:r>
        <w:rPr>
          <w:rFonts w:hint="default" w:ascii="仿宋_GB2312" w:hAnsi="??" w:eastAsia="仿宋_GB2312" w:cs="仿宋_GB2312"/>
          <w:sz w:val="28"/>
          <w:szCs w:val="28"/>
        </w:rPr>
        <w:t>2022</w:t>
      </w:r>
      <w:r>
        <w:rPr>
          <w:rFonts w:ascii="仿宋_GB2312" w:hAnsi="??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13"/>
        <w:gridCol w:w="1085"/>
        <w:gridCol w:w="1009"/>
        <w:gridCol w:w="1127"/>
        <w:gridCol w:w="293"/>
        <w:gridCol w:w="83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4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2022年北京市畜禽及畜禽产品兽药残留监控计划项目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3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北京市农产品质量安全中心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3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孙志文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60271917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55.768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55.768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52.8853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94.83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</w:rPr>
              <w:t>9.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完成我市9个区的屠宰企业、养殖厂、奶牛养殖场（户）、生鲜乳收购站开展残留监控计划，共检测100个样品，其中猪肉25个、猪肝5个、牛肉5个、羊肉5个、鸡蛋30个、鸡肉5个、鸡肝5个、牛奶20个。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实际完成</w:t>
            </w:r>
            <w:r>
              <w:rPr>
                <w:rFonts w:hint="eastAsia" w:ascii="仿宋_GB2312" w:hAnsi="??" w:eastAsia="仿宋_GB2312"/>
                <w:kern w:val="0"/>
              </w:rPr>
              <w:t>我市9个区的屠宰企业、养殖厂、奶牛养殖场（户）、生鲜乳收购站</w:t>
            </w:r>
            <w:r>
              <w:rPr>
                <w:rFonts w:hint="default" w:ascii="仿宋_GB2312" w:hAnsi="??" w:eastAsia="仿宋_GB2312"/>
                <w:kern w:val="0"/>
                <w:lang w:eastAsia="zh-CN"/>
              </w:rPr>
              <w:t>100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个样品，完成率100%，累计检测样本量2345项次。所检样品整体合格率为</w:t>
            </w:r>
            <w:r>
              <w:rPr>
                <w:rFonts w:hint="default" w:ascii="仿宋_GB2312" w:hAnsi="??" w:eastAsia="仿宋_GB2312"/>
                <w:kern w:val="0"/>
                <w:lang w:eastAsia="zh-CN"/>
              </w:rPr>
              <w:t>100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实际</w:t>
            </w:r>
          </w:p>
          <w:p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偏差原因分析及改进</w:t>
            </w:r>
          </w:p>
          <w:p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监测范围北京郊区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畜禽产品样本抽样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/>
                <w:kern w:val="0"/>
              </w:rPr>
              <w:t>00</w:t>
            </w: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检测过程、结果符合质量技术监督管理要求。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  <w:p>
            <w:pPr>
              <w:bidi w:val="0"/>
              <w:ind w:firstLine="245" w:firstLine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default" w:cs="Times New Roman"/>
                <w:kern w:val="2"/>
                <w:sz w:val="21"/>
                <w:szCs w:val="21"/>
                <w:lang w:eastAsia="zh-CN" w:bidi="ar-SA"/>
              </w:rPr>
              <w:t>/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检测过程、结果符合质量技术监督管理要求。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429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不少于4次抽检，每季度完成检测任务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25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个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25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eastAsia="zh-Han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55.768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Hans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52.8853</w:t>
            </w: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eastAsia="zh-CN" w:bidi="ar-SA"/>
              </w:rPr>
            </w:pPr>
            <w:r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eastAsia="zh-CN" w:bidi="ar-S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9.483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不发生涉及北京市畜禽产品质量重大安全事故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/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Hans"/>
              </w:rPr>
              <w:t>未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发生涉及北京市畜禽产品质量重大安全事故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上级农业主管部门满意度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eastAsia="zh-Hans"/>
              </w:rPr>
            </w:pPr>
            <w:r>
              <w:rPr>
                <w:rFonts w:hint="default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98.97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</w:t>
      </w:r>
      <w:bookmarkStart w:id="0" w:name="_GoBack"/>
      <w:bookmarkEnd w:id="0"/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hZmQ2OTdmNWI3NjVmYzQ3MjcxOTdmNzgwODZiZG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66148F9"/>
    <w:rsid w:val="27A207C3"/>
    <w:rsid w:val="2AA83145"/>
    <w:rsid w:val="33FB9A54"/>
    <w:rsid w:val="37173543"/>
    <w:rsid w:val="3FF76880"/>
    <w:rsid w:val="58A63506"/>
    <w:rsid w:val="5D900CE9"/>
    <w:rsid w:val="7007284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896</Words>
  <Characters>1044</Characters>
  <Lines>0</Lines>
  <Paragraphs>0</Paragraphs>
  <TotalTime>1</TotalTime>
  <ScaleCrop>false</ScaleCrop>
  <LinksUpToDate>false</LinksUpToDate>
  <CharactersWithSpaces>1081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魏紫嫣</cp:lastModifiedBy>
  <cp:lastPrinted>2022-03-24T18:01:00Z</cp:lastPrinted>
  <dcterms:modified xsi:type="dcterms:W3CDTF">2023-06-08T06:37:31Z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EE55AC75C22D447482511E57514A4850_13</vt:lpwstr>
  </property>
</Properties>
</file>