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 xml:space="preserve">2022 </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8"/>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平安北京建设项目</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市农业农村局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应急处</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张晓晓</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82031911</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32</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32</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32</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32</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32</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32</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354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宋体" w:eastAsia="仿宋_GB2312" w:cs="仿宋_GB2312"/>
              </w:rPr>
              <w:t xml:space="preserve">1.按照市委农工委、市农业农村局2022年重大事项社会稳定风险评估工作安排，依据应评尽评原则，委托第三方专业机构完成重大政策和重大项目的风险评估工作。 2.为了进一步完善北京市农业农村系统安全监管体系、规范安全监管行为，对重点场所安全风险进行深入辨识与评估，协调配合市级安全生产委员会建立规范的安全风险数据库和信息管理系统。借助专业技术力量，提高安全生产监管水平和效率。 </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宋体" w:eastAsia="仿宋_GB2312" w:cs="仿宋_GB2312"/>
              </w:rPr>
              <w:t>围绕全市“三农”工作政策和重大改革措施的制定和重大调整；由委局牵头或立项，且涉及全市群众切实利益的重大建设项目和重大工程；其他涉及农民切身利益，可能引发群体间利益不均衡，以及由委局直接参与的全市性重大保障活动等容易影响首都社会稳定的重大政策的制定和重大调整。形成评估报告，确保政策出台，安全稳妥。通过开展风险隐患排查，及时发现农业行业和系统单位存在的安全隐患，及时消除和整改，确保农业行业和系统单位安全稳定。</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59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仿宋_GB2312" w:hAnsi="??" w:eastAsia="仿宋_GB2312"/>
                <w:color w:val="000000"/>
                <w:kern w:val="0"/>
              </w:rPr>
            </w:pPr>
            <w:r>
              <w:rPr>
                <w:rFonts w:hint="eastAsia" w:ascii="宋体" w:hAnsi="宋体" w:eastAsia="宋体" w:cs="宋体"/>
                <w:i w:val="0"/>
                <w:color w:val="000000"/>
                <w:kern w:val="0"/>
                <w:sz w:val="18"/>
                <w:szCs w:val="18"/>
                <w:u w:val="none"/>
                <w:lang w:val="en-US" w:eastAsia="zh-CN" w:bidi="ar"/>
              </w:rPr>
              <w:t>涉农重大事项社会稳定风险评估次数</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 w:eastAsia="东文宋体"/>
                <w:kern w:val="0"/>
                <w:lang w:val="en-US" w:eastAsia="zh-CN"/>
              </w:rPr>
            </w:pPr>
            <w:r>
              <w:rPr>
                <w:rFonts w:ascii="宋体" w:hAnsi="宋体" w:eastAsia="宋体" w:cs="宋体"/>
                <w:i w:val="0"/>
                <w:color w:val="000000"/>
                <w:kern w:val="0"/>
                <w:sz w:val="18"/>
                <w:szCs w:val="18"/>
                <w:u w:val="none"/>
                <w:lang w:val="en-US" w:eastAsia="zh-CN" w:bidi="ar"/>
              </w:rPr>
              <w:t>≥3次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宋体" w:eastAsia="仿宋_GB2312" w:cs="仿宋_GB2312"/>
                <w:kern w:val="0"/>
                <w:lang w:val="en-US" w:eastAsia="zh-CN"/>
              </w:rPr>
              <w:t>20次</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宋体" w:eastAsia="仿宋_GB2312" w:cs="仿宋_GB2312"/>
                <w:kern w:val="0"/>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2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仿宋_GB2312" w:hAnsi="??" w:eastAsia="仿宋_GB2312"/>
                <w:color w:val="000000"/>
                <w:kern w:val="0"/>
              </w:rPr>
            </w:pPr>
            <w:r>
              <w:rPr>
                <w:rFonts w:hint="eastAsia" w:ascii="宋体" w:hAnsi="宋体" w:eastAsia="宋体" w:cs="宋体"/>
                <w:i w:val="0"/>
                <w:color w:val="000000"/>
                <w:kern w:val="0"/>
                <w:sz w:val="18"/>
                <w:szCs w:val="18"/>
                <w:u w:val="none"/>
                <w:lang w:val="en-US" w:eastAsia="zh-CN" w:bidi="ar"/>
              </w:rPr>
              <w:t>对农业企业风险隐患整改情况进行核查次数</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 w:eastAsia="仿宋_GB2312"/>
                <w:kern w:val="0"/>
                <w:lang w:val="en-US" w:eastAsia="zh-CN"/>
              </w:rPr>
            </w:pPr>
            <w:r>
              <w:rPr>
                <w:rFonts w:ascii="宋体" w:hAnsi="宋体" w:eastAsia="宋体" w:cs="宋体"/>
                <w:i w:val="0"/>
                <w:color w:val="000000"/>
                <w:kern w:val="0"/>
                <w:sz w:val="18"/>
                <w:szCs w:val="18"/>
                <w:u w:val="none"/>
                <w:lang w:val="en-US" w:eastAsia="zh-CN" w:bidi="ar"/>
              </w:rPr>
              <w:t>≤8次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10次</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6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仿宋_GB2312" w:hAnsi="??" w:eastAsia="仿宋_GB2312"/>
                <w:color w:val="000000"/>
                <w:kern w:val="0"/>
              </w:rPr>
            </w:pPr>
            <w:r>
              <w:rPr>
                <w:rFonts w:hint="eastAsia" w:ascii="宋体" w:hAnsi="宋体" w:eastAsia="宋体" w:cs="宋体"/>
                <w:i w:val="0"/>
                <w:color w:val="000000"/>
                <w:kern w:val="0"/>
                <w:sz w:val="18"/>
                <w:szCs w:val="18"/>
                <w:u w:val="none"/>
                <w:lang w:val="en-US" w:eastAsia="zh-CN" w:bidi="ar"/>
              </w:rPr>
              <w:t>风险评估报告质量</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仿宋_GB2312" w:hAnsi="??" w:eastAsia="仿宋_GB2312"/>
                <w:kern w:val="0"/>
              </w:rPr>
            </w:pPr>
            <w:r>
              <w:rPr>
                <w:rFonts w:ascii="宋体" w:hAnsi="宋体" w:eastAsia="宋体" w:cs="宋体"/>
                <w:i w:val="0"/>
                <w:color w:val="000000"/>
                <w:kern w:val="0"/>
                <w:sz w:val="18"/>
                <w:szCs w:val="18"/>
                <w:u w:val="none"/>
                <w:lang w:val="en-US" w:eastAsia="zh-CN" w:bidi="ar"/>
              </w:rPr>
              <w:t>优</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宋体" w:eastAsia="仿宋_GB2312" w:cs="仿宋_GB2312"/>
                <w:kern w:val="0"/>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宋体" w:eastAsia="仿宋_GB2312" w:cs="仿宋_GB2312"/>
                <w:kern w:val="0"/>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仿宋_GB2312" w:hAnsi="??" w:eastAsia="仿宋_GB2312"/>
                <w:color w:val="000000"/>
                <w:kern w:val="0"/>
              </w:rPr>
            </w:pPr>
            <w:r>
              <w:rPr>
                <w:rFonts w:hint="eastAsia" w:ascii="宋体" w:hAnsi="宋体" w:eastAsia="宋体" w:cs="宋体"/>
                <w:i w:val="0"/>
                <w:color w:val="000000"/>
                <w:kern w:val="0"/>
                <w:sz w:val="18"/>
                <w:szCs w:val="18"/>
                <w:u w:val="none"/>
                <w:lang w:val="en-US" w:eastAsia="zh-CN" w:bidi="ar"/>
              </w:rPr>
              <w:t>风险隐患整改质量</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仿宋_GB2312" w:hAnsi="??" w:eastAsia="仿宋_GB2312"/>
                <w:kern w:val="0"/>
              </w:rPr>
            </w:pPr>
            <w:r>
              <w:rPr>
                <w:rFonts w:ascii="宋体" w:hAnsi="宋体" w:eastAsia="宋体" w:cs="宋体"/>
                <w:i w:val="0"/>
                <w:color w:val="000000"/>
                <w:kern w:val="0"/>
                <w:sz w:val="18"/>
                <w:szCs w:val="18"/>
                <w:u w:val="none"/>
                <w:lang w:val="en-US" w:eastAsia="zh-CN" w:bidi="ar"/>
              </w:rPr>
              <w:t>优</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Style w:val="18"/>
                <w:lang w:val="en-US" w:eastAsia="zh-CN" w:bidi="ar"/>
              </w:rPr>
            </w:pPr>
            <w:r>
              <w:rPr>
                <w:rFonts w:hint="eastAsia" w:ascii="宋体" w:hAnsi="宋体" w:eastAsia="宋体" w:cs="宋体"/>
                <w:i w:val="0"/>
                <w:color w:val="000000"/>
                <w:kern w:val="0"/>
                <w:sz w:val="18"/>
                <w:szCs w:val="18"/>
                <w:u w:val="none"/>
                <w:lang w:val="en-US" w:eastAsia="zh-CN" w:bidi="ar"/>
              </w:rPr>
              <w:t>第三方风险评估报告质量</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i w:val="0"/>
                <w:color w:val="000000"/>
                <w:kern w:val="0"/>
                <w:sz w:val="18"/>
                <w:szCs w:val="18"/>
                <w:u w:val="none"/>
                <w:lang w:val="en-US" w:eastAsia="zh-CN" w:bidi="ar"/>
              </w:rPr>
            </w:pPr>
            <w:r>
              <w:rPr>
                <w:rFonts w:ascii="宋体" w:hAnsi="宋体" w:eastAsia="宋体" w:cs="宋体"/>
                <w:i w:val="0"/>
                <w:color w:val="000000"/>
                <w:kern w:val="0"/>
                <w:sz w:val="18"/>
                <w:szCs w:val="18"/>
                <w:u w:val="none"/>
                <w:lang w:val="en-US" w:eastAsia="zh-CN" w:bidi="ar"/>
              </w:rPr>
              <w:t>优</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7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2137" w:type="dxa"/>
            <w:gridSpan w:val="3"/>
            <w:tcBorders>
              <w:top w:val="single" w:color="auto" w:sz="4" w:space="0"/>
              <w:left w:val="nil"/>
              <w:right w:val="single" w:color="auto" w:sz="4" w:space="0"/>
            </w:tcBorders>
            <w:vAlign w:val="center"/>
          </w:tcPr>
          <w:p>
            <w:pPr>
              <w:keepNext w:val="0"/>
              <w:keepLines w:val="0"/>
              <w:widowControl/>
              <w:suppressLineNumbers w:val="0"/>
              <w:jc w:val="left"/>
              <w:textAlignment w:val="center"/>
              <w:rPr>
                <w:rFonts w:ascii="仿宋_GB2312" w:hAnsi="??" w:eastAsia="仿宋_GB2312"/>
                <w:color w:val="000000"/>
                <w:kern w:val="0"/>
              </w:rPr>
            </w:pPr>
            <w:r>
              <w:rPr>
                <w:rFonts w:hint="eastAsia" w:ascii="宋体" w:hAnsi="宋体" w:eastAsia="宋体" w:cs="宋体"/>
                <w:i w:val="0"/>
                <w:color w:val="000000"/>
                <w:kern w:val="0"/>
                <w:sz w:val="18"/>
                <w:szCs w:val="18"/>
                <w:u w:val="none"/>
                <w:lang w:val="en-US" w:eastAsia="zh-CN" w:bidi="ar"/>
              </w:rPr>
              <w:t>项目截止期限</w:t>
            </w:r>
          </w:p>
        </w:tc>
        <w:tc>
          <w:tcPr>
            <w:tcW w:w="849" w:type="dxa"/>
            <w:tcBorders>
              <w:top w:val="single" w:color="auto" w:sz="4" w:space="0"/>
              <w:left w:val="nil"/>
              <w:right w:val="single" w:color="auto" w:sz="4" w:space="0"/>
            </w:tcBorders>
            <w:vAlign w:val="center"/>
          </w:tcPr>
          <w:p>
            <w:pPr>
              <w:keepNext w:val="0"/>
              <w:keepLines w:val="0"/>
              <w:widowControl/>
              <w:suppressLineNumbers w:val="0"/>
              <w:jc w:val="left"/>
              <w:textAlignment w:val="center"/>
              <w:rPr>
                <w:rFonts w:hint="eastAsia" w:ascii="仿宋_GB2312" w:hAnsi="??" w:eastAsia="仿宋_GB2312"/>
                <w:kern w:val="0"/>
                <w:lang w:val="en-US" w:eastAsia="zh-CN"/>
              </w:rPr>
            </w:pPr>
            <w:r>
              <w:rPr>
                <w:rFonts w:ascii="宋体" w:hAnsi="宋体" w:eastAsia="宋体" w:cs="宋体"/>
                <w:i w:val="0"/>
                <w:color w:val="000000"/>
                <w:kern w:val="0"/>
                <w:sz w:val="18"/>
                <w:szCs w:val="18"/>
                <w:u w:val="none"/>
                <w:lang w:val="en-US" w:eastAsia="zh-CN" w:bidi="ar"/>
              </w:rPr>
              <w:t>1年</w:t>
            </w:r>
          </w:p>
        </w:tc>
        <w:tc>
          <w:tcPr>
            <w:tcW w:w="848" w:type="dxa"/>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1年</w:t>
            </w:r>
          </w:p>
        </w:tc>
        <w:tc>
          <w:tcPr>
            <w:tcW w:w="563" w:type="dxa"/>
            <w:gridSpan w:val="2"/>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563" w:type="dxa"/>
            <w:gridSpan w:val="2"/>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仿宋_GB2312" w:hAnsi="??" w:eastAsia="仿宋_GB2312"/>
                <w:color w:val="000000"/>
                <w:kern w:val="0"/>
              </w:rPr>
            </w:pPr>
            <w:r>
              <w:rPr>
                <w:rFonts w:hint="eastAsia" w:ascii="宋体" w:hAnsi="宋体" w:eastAsia="宋体" w:cs="宋体"/>
                <w:i w:val="0"/>
                <w:color w:val="000000"/>
                <w:kern w:val="0"/>
                <w:sz w:val="18"/>
                <w:szCs w:val="18"/>
                <w:u w:val="none"/>
                <w:lang w:val="en-US" w:eastAsia="zh-CN" w:bidi="ar"/>
              </w:rPr>
              <w:t>涉农重大事项社会稳定风险评估成本</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default" w:ascii="仿宋_GB2312" w:hAnsi="??" w:eastAsia="仿宋_GB2312"/>
                <w:kern w:val="0"/>
                <w:lang w:val="en-US" w:eastAsia="zh-CN"/>
              </w:rPr>
            </w:pPr>
            <w:r>
              <w:rPr>
                <w:rFonts w:ascii="宋体" w:hAnsi="宋体" w:eastAsia="宋体" w:cs="宋体"/>
                <w:i w:val="0"/>
                <w:color w:val="000000"/>
                <w:kern w:val="0"/>
                <w:sz w:val="18"/>
                <w:szCs w:val="18"/>
                <w:u w:val="none"/>
                <w:lang w:val="en-US" w:eastAsia="zh-CN" w:bidi="ar"/>
              </w:rPr>
              <w:t>≤24万元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24万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宋体" w:eastAsia="仿宋_GB2312" w:cs="仿宋_GB2312"/>
                <w:kern w:val="0"/>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宋体" w:eastAsia="仿宋_GB2312" w:cs="仿宋_GB2312"/>
                <w:kern w:val="0"/>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3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仿宋_GB2312" w:hAnsi="??" w:eastAsia="仿宋_GB2312"/>
                <w:color w:val="000000"/>
                <w:kern w:val="0"/>
              </w:rPr>
            </w:pPr>
            <w:r>
              <w:rPr>
                <w:rFonts w:hint="eastAsia" w:ascii="宋体" w:hAnsi="宋体" w:eastAsia="宋体" w:cs="宋体"/>
                <w:i w:val="0"/>
                <w:color w:val="000000"/>
                <w:kern w:val="0"/>
                <w:sz w:val="18"/>
                <w:szCs w:val="18"/>
                <w:u w:val="none"/>
                <w:lang w:val="en-US" w:eastAsia="zh-CN" w:bidi="ar"/>
              </w:rPr>
              <w:t>对农业企业开展安全隐患排查成本</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 w:eastAsia="仿宋_GB2312"/>
                <w:kern w:val="0"/>
                <w:lang w:val="en-US" w:eastAsia="zh-CN"/>
              </w:rPr>
            </w:pPr>
            <w:r>
              <w:rPr>
                <w:rFonts w:ascii="宋体" w:hAnsi="宋体" w:eastAsia="宋体" w:cs="宋体"/>
                <w:i w:val="0"/>
                <w:color w:val="000000"/>
                <w:kern w:val="0"/>
                <w:sz w:val="18"/>
                <w:szCs w:val="18"/>
                <w:u w:val="none"/>
                <w:lang w:val="en-US" w:eastAsia="zh-CN" w:bidi="ar"/>
              </w:rPr>
              <w:t>≤8万元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8万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6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right w:val="single" w:color="auto" w:sz="4" w:space="0"/>
            </w:tcBorders>
            <w:vAlign w:val="center"/>
          </w:tcPr>
          <w:p>
            <w:pPr>
              <w:keepNext w:val="0"/>
              <w:keepLines w:val="0"/>
              <w:widowControl/>
              <w:suppressLineNumbers w:val="0"/>
              <w:jc w:val="left"/>
              <w:textAlignment w:val="center"/>
              <w:rPr>
                <w:rFonts w:ascii="仿宋_GB2312" w:hAnsi="??" w:eastAsia="仿宋_GB2312"/>
                <w:color w:val="000000"/>
                <w:kern w:val="0"/>
              </w:rPr>
            </w:pPr>
            <w:r>
              <w:rPr>
                <w:rFonts w:hint="eastAsia" w:ascii="宋体" w:hAnsi="宋体" w:eastAsia="宋体" w:cs="宋体"/>
                <w:i w:val="0"/>
                <w:color w:val="000000"/>
                <w:kern w:val="0"/>
                <w:sz w:val="18"/>
                <w:szCs w:val="18"/>
                <w:u w:val="none"/>
                <w:lang w:val="en-US" w:eastAsia="zh-CN" w:bidi="ar"/>
              </w:rPr>
              <w:t>促进涉农重大决策更加科学、合理</w:t>
            </w:r>
          </w:p>
        </w:tc>
        <w:tc>
          <w:tcPr>
            <w:tcW w:w="849" w:type="dxa"/>
            <w:tcBorders>
              <w:top w:val="single" w:color="auto" w:sz="4" w:space="0"/>
              <w:left w:val="nil"/>
              <w:right w:val="single" w:color="auto" w:sz="4" w:space="0"/>
            </w:tcBorders>
            <w:vAlign w:val="center"/>
          </w:tcPr>
          <w:p>
            <w:pPr>
              <w:keepNext w:val="0"/>
              <w:keepLines w:val="0"/>
              <w:widowControl/>
              <w:suppressLineNumbers w:val="0"/>
              <w:jc w:val="left"/>
              <w:textAlignment w:val="center"/>
              <w:rPr>
                <w:rFonts w:ascii="仿宋_GB2312" w:hAnsi="??" w:eastAsia="仿宋_GB2312"/>
                <w:kern w:val="0"/>
              </w:rPr>
            </w:pPr>
            <w:r>
              <w:rPr>
                <w:rFonts w:ascii="宋体" w:hAnsi="宋体" w:eastAsia="宋体" w:cs="宋体"/>
                <w:i w:val="0"/>
                <w:color w:val="000000"/>
                <w:kern w:val="0"/>
                <w:sz w:val="18"/>
                <w:szCs w:val="18"/>
                <w:u w:val="none"/>
                <w:lang w:val="en-US" w:eastAsia="zh-CN" w:bidi="ar"/>
              </w:rPr>
              <w:t>优</w:t>
            </w:r>
          </w:p>
        </w:tc>
        <w:tc>
          <w:tcPr>
            <w:tcW w:w="848" w:type="dxa"/>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优</w:t>
            </w:r>
          </w:p>
        </w:tc>
        <w:tc>
          <w:tcPr>
            <w:tcW w:w="563" w:type="dxa"/>
            <w:gridSpan w:val="2"/>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563" w:type="dxa"/>
            <w:gridSpan w:val="2"/>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9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仿宋_GB2312" w:hAnsi="??" w:eastAsia="仿宋_GB2312"/>
                <w:color w:val="000000"/>
                <w:kern w:val="0"/>
              </w:rPr>
            </w:pPr>
            <w:r>
              <w:rPr>
                <w:rFonts w:hint="eastAsia" w:ascii="宋体" w:hAnsi="宋体" w:eastAsia="宋体" w:cs="宋体"/>
                <w:i w:val="0"/>
                <w:color w:val="000000"/>
                <w:kern w:val="0"/>
                <w:sz w:val="18"/>
                <w:szCs w:val="18"/>
                <w:u w:val="none"/>
                <w:lang w:val="en-US" w:eastAsia="zh-CN" w:bidi="ar"/>
              </w:rPr>
              <w:t>预防和减少矛盾纠纷提供有力保障</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仿宋_GB2312" w:hAnsi="??" w:eastAsia="仿宋_GB2312"/>
                <w:kern w:val="0"/>
              </w:rPr>
            </w:pPr>
            <w:r>
              <w:rPr>
                <w:rFonts w:ascii="宋体" w:hAnsi="宋体" w:eastAsia="宋体" w:cs="宋体"/>
                <w:i w:val="0"/>
                <w:color w:val="000000"/>
                <w:kern w:val="0"/>
                <w:sz w:val="18"/>
                <w:szCs w:val="18"/>
                <w:u w:val="none"/>
                <w:lang w:val="en-US" w:eastAsia="zh-CN" w:bidi="ar"/>
              </w:rPr>
              <w:t>优</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eastAsia="zh-CN"/>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仿宋_GB2312" w:hAnsi="??" w:eastAsia="仿宋_GB2312"/>
                <w:color w:val="000000"/>
                <w:kern w:val="0"/>
              </w:rPr>
            </w:pPr>
            <w:r>
              <w:rPr>
                <w:rFonts w:hint="eastAsia" w:ascii="宋体" w:hAnsi="宋体" w:eastAsia="宋体" w:cs="宋体"/>
                <w:i w:val="0"/>
                <w:color w:val="000000"/>
                <w:kern w:val="0"/>
                <w:sz w:val="18"/>
                <w:szCs w:val="18"/>
                <w:u w:val="none"/>
                <w:lang w:val="en-US" w:eastAsia="zh-CN" w:bidi="ar"/>
              </w:rPr>
              <w:t>分析、解决在安全生产监管过程中存在的问题、保障农业生产。</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仿宋_GB2312" w:hAnsi="??" w:eastAsia="仿宋_GB2312"/>
                <w:kern w:val="0"/>
              </w:rPr>
            </w:pPr>
            <w:r>
              <w:rPr>
                <w:rFonts w:ascii="宋体" w:hAnsi="宋体" w:eastAsia="宋体" w:cs="宋体"/>
                <w:i w:val="0"/>
                <w:color w:val="000000"/>
                <w:kern w:val="0"/>
                <w:sz w:val="18"/>
                <w:szCs w:val="18"/>
                <w:u w:val="none"/>
                <w:lang w:val="en-US" w:eastAsia="zh-CN" w:bidi="ar"/>
              </w:rPr>
              <w:t>优</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eastAsia="zh-CN"/>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8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right w:val="single" w:color="auto" w:sz="4" w:space="0"/>
            </w:tcBorders>
            <w:vAlign w:val="center"/>
          </w:tcPr>
          <w:p>
            <w:pPr>
              <w:keepNext w:val="0"/>
              <w:keepLines w:val="0"/>
              <w:widowControl/>
              <w:suppressLineNumbers w:val="0"/>
              <w:jc w:val="left"/>
              <w:textAlignment w:val="center"/>
              <w:rPr>
                <w:rFonts w:ascii="仿宋_GB2312" w:hAnsi="??" w:eastAsia="仿宋_GB2312"/>
                <w:color w:val="000000"/>
                <w:kern w:val="0"/>
              </w:rPr>
            </w:pPr>
            <w:r>
              <w:rPr>
                <w:rFonts w:hint="eastAsia" w:ascii="宋体" w:hAnsi="宋体" w:eastAsia="宋体" w:cs="宋体"/>
                <w:i w:val="0"/>
                <w:color w:val="000000"/>
                <w:kern w:val="0"/>
                <w:sz w:val="18"/>
                <w:szCs w:val="18"/>
                <w:u w:val="none"/>
                <w:lang w:val="en-US" w:eastAsia="zh-CN" w:bidi="ar"/>
              </w:rPr>
              <w:t>分析、解决在安全生产监管过程中存在的问题</w:t>
            </w:r>
          </w:p>
        </w:tc>
        <w:tc>
          <w:tcPr>
            <w:tcW w:w="849" w:type="dxa"/>
            <w:tcBorders>
              <w:top w:val="single" w:color="auto" w:sz="4" w:space="0"/>
              <w:left w:val="nil"/>
              <w:right w:val="single" w:color="auto" w:sz="4" w:space="0"/>
            </w:tcBorders>
            <w:vAlign w:val="center"/>
          </w:tcPr>
          <w:p>
            <w:pPr>
              <w:keepNext w:val="0"/>
              <w:keepLines w:val="0"/>
              <w:widowControl/>
              <w:suppressLineNumbers w:val="0"/>
              <w:jc w:val="left"/>
              <w:textAlignment w:val="center"/>
              <w:rPr>
                <w:rFonts w:ascii="仿宋_GB2312" w:hAnsi="??" w:eastAsia="仿宋_GB2312"/>
                <w:kern w:val="0"/>
              </w:rPr>
            </w:pPr>
            <w:r>
              <w:rPr>
                <w:rFonts w:ascii="宋体" w:hAnsi="宋体" w:eastAsia="宋体" w:cs="宋体"/>
                <w:i w:val="0"/>
                <w:color w:val="000000"/>
                <w:kern w:val="0"/>
                <w:sz w:val="18"/>
                <w:szCs w:val="18"/>
                <w:u w:val="none"/>
                <w:lang w:val="en-US" w:eastAsia="zh-CN" w:bidi="ar"/>
              </w:rPr>
              <w:t>优</w:t>
            </w:r>
          </w:p>
        </w:tc>
        <w:tc>
          <w:tcPr>
            <w:tcW w:w="848" w:type="dxa"/>
            <w:tcBorders>
              <w:top w:val="single" w:color="auto" w:sz="4" w:space="0"/>
              <w:left w:val="nil"/>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eastAsia="zh-CN"/>
              </w:rPr>
              <w:t>优</w:t>
            </w:r>
          </w:p>
        </w:tc>
        <w:tc>
          <w:tcPr>
            <w:tcW w:w="563" w:type="dxa"/>
            <w:gridSpan w:val="2"/>
            <w:tcBorders>
              <w:top w:val="single" w:color="auto" w:sz="4" w:space="0"/>
              <w:left w:val="nil"/>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5</w:t>
            </w:r>
          </w:p>
        </w:tc>
        <w:tc>
          <w:tcPr>
            <w:tcW w:w="563" w:type="dxa"/>
            <w:gridSpan w:val="2"/>
            <w:tcBorders>
              <w:top w:val="single" w:color="auto" w:sz="4" w:space="0"/>
              <w:left w:val="nil"/>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仿宋_GB2312" w:hAnsi="??" w:eastAsia="仿宋_GB2312"/>
                <w:color w:val="000000"/>
                <w:kern w:val="0"/>
              </w:rPr>
            </w:pPr>
            <w:r>
              <w:rPr>
                <w:rFonts w:hint="eastAsia" w:ascii="宋体" w:hAnsi="宋体" w:eastAsia="宋体" w:cs="宋体"/>
                <w:i w:val="0"/>
                <w:color w:val="000000"/>
                <w:kern w:val="0"/>
                <w:sz w:val="18"/>
                <w:szCs w:val="18"/>
                <w:u w:val="none"/>
                <w:lang w:val="en-US" w:eastAsia="zh-CN" w:bidi="ar"/>
              </w:rPr>
              <w:t>农民群众消防安全意识持续提高</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仿宋_GB2312" w:hAnsi="??" w:eastAsia="仿宋_GB2312"/>
                <w:kern w:val="0"/>
              </w:rPr>
            </w:pPr>
            <w:r>
              <w:rPr>
                <w:rFonts w:ascii="宋体" w:hAnsi="宋体" w:eastAsia="宋体" w:cs="宋体"/>
                <w:i w:val="0"/>
                <w:color w:val="000000"/>
                <w:kern w:val="0"/>
                <w:sz w:val="18"/>
                <w:szCs w:val="18"/>
                <w:u w:val="none"/>
                <w:lang w:val="en-US" w:eastAsia="zh-CN" w:bidi="ar"/>
              </w:rPr>
              <w:t>优</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eastAsia="zh-CN"/>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1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仿宋_GB2312" w:hAnsi="??" w:eastAsia="仿宋_GB2312"/>
                <w:color w:val="000000"/>
                <w:kern w:val="0"/>
              </w:rPr>
            </w:pPr>
            <w:r>
              <w:rPr>
                <w:rFonts w:hint="eastAsia" w:ascii="宋体" w:hAnsi="宋体" w:eastAsia="宋体" w:cs="宋体"/>
                <w:i w:val="0"/>
                <w:color w:val="000000"/>
                <w:kern w:val="0"/>
                <w:sz w:val="18"/>
                <w:szCs w:val="18"/>
                <w:u w:val="none"/>
                <w:lang w:val="en-US" w:eastAsia="zh-CN" w:bidi="ar"/>
              </w:rPr>
              <w:t>涉农重大决策成效和矛盾纠纷数量持续减少</w:t>
            </w:r>
          </w:p>
        </w:tc>
        <w:tc>
          <w:tcPr>
            <w:tcW w:w="8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仿宋_GB2312" w:hAnsi="??" w:eastAsia="仿宋_GB2312"/>
                <w:kern w:val="0"/>
              </w:rPr>
            </w:pPr>
            <w:r>
              <w:rPr>
                <w:rFonts w:ascii="宋体" w:hAnsi="宋体" w:eastAsia="宋体" w:cs="宋体"/>
                <w:i w:val="0"/>
                <w:color w:val="000000"/>
                <w:kern w:val="0"/>
                <w:sz w:val="18"/>
                <w:szCs w:val="18"/>
                <w:u w:val="none"/>
                <w:lang w:val="en-US" w:eastAsia="zh-CN" w:bidi="ar"/>
              </w:rPr>
              <w:t>优</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eastAsia="zh-CN"/>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6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default" w:ascii="仿宋_GB2312" w:hAnsi="??" w:eastAsia="仿宋_GB2312"/>
                <w:color w:val="000000"/>
                <w:kern w:val="0"/>
                <w:lang w:val="en-US"/>
              </w:rPr>
            </w:pPr>
            <w:r>
              <w:rPr>
                <w:rFonts w:hint="eastAsia" w:ascii="宋体" w:hAnsi="宋体" w:eastAsia="宋体" w:cs="宋体"/>
                <w:i w:val="0"/>
                <w:color w:val="000000"/>
                <w:kern w:val="0"/>
                <w:sz w:val="18"/>
                <w:szCs w:val="18"/>
                <w:u w:val="none"/>
                <w:lang w:val="en-US" w:eastAsia="zh-CN" w:bidi="ar"/>
              </w:rPr>
              <w:t>涉农重大事项评估满意度</w:t>
            </w:r>
          </w:p>
        </w:tc>
        <w:tc>
          <w:tcPr>
            <w:tcW w:w="849" w:type="dxa"/>
            <w:tcBorders>
              <w:top w:val="single" w:color="auto" w:sz="4" w:space="0"/>
              <w:left w:val="nil"/>
              <w:right w:val="single" w:color="auto" w:sz="4" w:space="0"/>
            </w:tcBorders>
            <w:vAlign w:val="center"/>
          </w:tcPr>
          <w:p>
            <w:pPr>
              <w:keepNext w:val="0"/>
              <w:keepLines w:val="0"/>
              <w:widowControl/>
              <w:suppressLineNumbers w:val="0"/>
              <w:jc w:val="left"/>
              <w:textAlignment w:val="center"/>
              <w:rPr>
                <w:rFonts w:hint="default" w:ascii="仿宋_GB2312" w:hAnsi="??" w:eastAsia="仿宋_GB2312"/>
                <w:kern w:val="0"/>
                <w:lang w:val="en-US"/>
              </w:rPr>
            </w:pPr>
            <w:r>
              <w:rPr>
                <w:rFonts w:hint="eastAsia" w:ascii="东文宋体" w:hAnsi="东文宋体" w:eastAsia="东文宋体" w:cs="东文宋体"/>
                <w:i w:val="0"/>
                <w:color w:val="000000"/>
                <w:kern w:val="0"/>
                <w:sz w:val="18"/>
                <w:szCs w:val="18"/>
                <w:u w:val="none"/>
                <w:lang w:val="en-US" w:eastAsia="zh-CN" w:bidi="ar"/>
              </w:rPr>
              <w:t>≥90%</w:t>
            </w:r>
          </w:p>
        </w:tc>
        <w:tc>
          <w:tcPr>
            <w:tcW w:w="848" w:type="dxa"/>
            <w:tcBorders>
              <w:top w:val="single" w:color="auto" w:sz="4" w:space="0"/>
              <w:left w:val="nil"/>
              <w:right w:val="single" w:color="auto" w:sz="4" w:space="0"/>
            </w:tcBorders>
            <w:vAlign w:val="center"/>
          </w:tcPr>
          <w:p>
            <w:pPr>
              <w:widowControl/>
              <w:spacing w:line="240" w:lineRule="exact"/>
              <w:jc w:val="center"/>
              <w:rPr>
                <w:rFonts w:ascii="仿宋_GB2312" w:hAnsi="??" w:eastAsia="仿宋_GB2312"/>
                <w:kern w:val="0"/>
              </w:rPr>
            </w:pPr>
            <w:r>
              <w:rPr>
                <w:rFonts w:hint="eastAsia" w:ascii="东文宋体" w:hAnsi="东文宋体" w:eastAsia="东文宋体" w:cs="东文宋体"/>
                <w:kern w:val="0"/>
              </w:rPr>
              <w:t>≥</w:t>
            </w:r>
            <w:r>
              <w:rPr>
                <w:rFonts w:ascii="仿宋_GB2312" w:hAnsi="宋体" w:eastAsia="仿宋_GB2312" w:cs="仿宋_GB2312"/>
                <w:kern w:val="0"/>
              </w:rPr>
              <w:t>90%</w:t>
            </w:r>
          </w:p>
        </w:tc>
        <w:tc>
          <w:tcPr>
            <w:tcW w:w="563" w:type="dxa"/>
            <w:gridSpan w:val="2"/>
            <w:tcBorders>
              <w:top w:val="single" w:color="auto" w:sz="4" w:space="0"/>
              <w:left w:val="nil"/>
              <w:right w:val="single" w:color="auto" w:sz="4" w:space="0"/>
            </w:tcBorders>
            <w:vAlign w:val="center"/>
          </w:tcPr>
          <w:p>
            <w:pPr>
              <w:widowControl/>
              <w:spacing w:line="240" w:lineRule="exact"/>
              <w:jc w:val="center"/>
              <w:rPr>
                <w:rFonts w:ascii="仿宋_GB2312" w:hAnsi="??" w:eastAsia="仿宋_GB2312"/>
                <w:kern w:val="0"/>
              </w:rPr>
            </w:pPr>
            <w:bookmarkStart w:id="0" w:name="_GoBack"/>
            <w:bookmarkEnd w:id="0"/>
            <w:r>
              <w:rPr>
                <w:rFonts w:ascii="仿宋_GB2312" w:hAnsi="宋体" w:eastAsia="仿宋_GB2312" w:cs="仿宋_GB2312"/>
                <w:kern w:val="0"/>
              </w:rPr>
              <w:t>10</w:t>
            </w:r>
          </w:p>
        </w:tc>
        <w:tc>
          <w:tcPr>
            <w:tcW w:w="563" w:type="dxa"/>
            <w:gridSpan w:val="2"/>
            <w:tcBorders>
              <w:top w:val="single" w:color="auto" w:sz="4" w:space="0"/>
              <w:left w:val="nil"/>
              <w:right w:val="single" w:color="auto" w:sz="4" w:space="0"/>
            </w:tcBorders>
            <w:vAlign w:val="center"/>
          </w:tcPr>
          <w:p>
            <w:pPr>
              <w:widowControl/>
              <w:spacing w:line="240" w:lineRule="exact"/>
              <w:jc w:val="center"/>
              <w:rPr>
                <w:rFonts w:ascii="仿宋_GB2312" w:hAnsi="??" w:eastAsia="仿宋_GB2312"/>
                <w:kern w:val="0"/>
              </w:rPr>
            </w:pPr>
            <w:r>
              <w:rPr>
                <w:rFonts w:ascii="仿宋_GB2312" w:hAnsi="宋体" w:eastAsia="仿宋_GB2312" w:cs="仿宋_GB2312"/>
                <w:kern w:val="0"/>
              </w:rPr>
              <w:t>10</w:t>
            </w:r>
          </w:p>
        </w:tc>
        <w:tc>
          <w:tcPr>
            <w:tcW w:w="1413" w:type="dxa"/>
            <w:gridSpan w:val="2"/>
            <w:tcBorders>
              <w:top w:val="single" w:color="auto" w:sz="4" w:space="0"/>
              <w:left w:val="nil"/>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100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keepNext w:val="0"/>
        <w:keepLines w:val="0"/>
        <w:pageBreakBefore w:val="0"/>
        <w:widowControl/>
        <w:kinsoku/>
        <w:wordWrap/>
        <w:overflowPunct/>
        <w:topLinePunct w:val="0"/>
        <w:autoSpaceDE/>
        <w:autoSpaceDN/>
        <w:bidi w:val="0"/>
        <w:adjustRightInd/>
        <w:snapToGrid/>
        <w:spacing w:line="480" w:lineRule="exact"/>
        <w:ind w:firstLine="640" w:firstLineChars="200"/>
        <w:jc w:val="left"/>
        <w:textAlignment w:val="auto"/>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keepNext w:val="0"/>
        <w:keepLines w:val="0"/>
        <w:pageBreakBefore w:val="0"/>
        <w:kinsoku/>
        <w:wordWrap/>
        <w:overflowPunct/>
        <w:topLinePunct w:val="0"/>
        <w:autoSpaceDE/>
        <w:autoSpaceDN/>
        <w:bidi w:val="0"/>
        <w:adjustRightInd/>
        <w:snapToGrid/>
        <w:spacing w:line="480" w:lineRule="exact"/>
        <w:ind w:firstLine="640" w:firstLineChars="200"/>
        <w:jc w:val="left"/>
        <w:textAlignment w:val="auto"/>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keepNext w:val="0"/>
        <w:keepLines w:val="0"/>
        <w:pageBreakBefore w:val="0"/>
        <w:kinsoku/>
        <w:wordWrap/>
        <w:overflowPunct/>
        <w:topLinePunct w:val="0"/>
        <w:autoSpaceDE/>
        <w:autoSpaceDN/>
        <w:bidi w:val="0"/>
        <w:adjustRightInd/>
        <w:snapToGrid/>
        <w:spacing w:line="480" w:lineRule="exact"/>
        <w:ind w:firstLine="640" w:firstLineChars="200"/>
        <w:textAlignment w:val="auto"/>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0000019F"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
    <w:altName w:val="DejaVu Math TeX Gyre"/>
    <w:panose1 w:val="00000000000000000000"/>
    <w:charset w:val="00"/>
    <w:family w:val="auto"/>
    <w:pitch w:val="default"/>
    <w:sig w:usb0="00000000" w:usb1="00000000" w:usb2="00000000" w:usb3="00000000" w:csb0="00000001" w:csb1="00000000"/>
  </w:font>
  <w:font w:name="东文宋体">
    <w:altName w:val="方正书宋_GBK"/>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 w:hAnsi="??" w:cs="??"/>
        <w:sz w:val="28"/>
        <w:szCs w:val="28"/>
      </w:rPr>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txbx>
                      <w:txbxContent>
                        <w:p>
                          <w:pPr>
                            <w:pStyle w:val="5"/>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wps:txbx>
                    <wps:bodyPr wrap="none" lIns="0" tIns="0" rIns="0" bIns="0" upright="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JPSxVuwEAAFoDAAAOAAAAZHJz&#10;L2Uyb0RvYy54bWytU81qGzEQvgf6DkL3etcuCWaxHFpCSiGkgSQPIGslr0B/jGTv+gWSN8ipl9zz&#10;XH6OjGSvU9pb6UUeaWa/+b5vxovLwRqylRC1d4xOJzUl0gnfardm9PHh+vOckpi4a7nxTjK6k5Fe&#10;Lj+dLfrQyJnvvGklEARxsekDo11KoamqKDppeZz4IB0mlQfLE15hXbXAe0S3pprV9UXVe2gDeCFj&#10;xNerQ5IuC75SUqSfSkWZiGEUuaVyQjlX+ayWC96sgYdOiyMN/g8sLNcOm56grnjiZAP6LyirBfjo&#10;VZoIbyuvlBayaEA10/oPNfcdD7JoQXNiONkU/x+suN3eAdEtzo4Sxy2OaP/yvP/1tn99ItNsTx9i&#10;g1X3AevS8M0PjCbYyDEV8T0LHxTY/IuSCJag17uTv3JIRODjdD6bz2tMCcyNF2xRfXweIKbv0luS&#10;A0YBB1h85dubmA6lY0nu5vy1NqYM0TjSM3rx5bwuH5wyCG4c9sg6DmRzlIbVcBS38u0OtfW4BIw6&#10;3FJKzA+HHud9GQMYg9UYbALodYccixuZTAxfNwkJFZ65yQH52BsHWJQely1vyO/3UvXxl1i+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BYA&#10;AABkcnMvUEsBAhQAFAAAAAgAh07iQLNJWO7QAAAABQEAAA8AAAAAAAAAAQAgAAAAOAAAAGRycy9k&#10;b3ducmV2LnhtbFBLAQIUABQAAAAIAIdO4kCJPSxVuwEAAFoDAAAOAAAAAAAAAAEAIAAAADUBAABk&#10;cnMvZTJvRG9jLnhtbFBLBQYAAAAABgAGAFkBAABiBQAAAAA=&#10;">
              <v:fill on="f" focussize="0,0"/>
              <v:stroke on="f" weight="0.5pt"/>
              <v:imagedata o:title=""/>
              <o:lock v:ext="edit" aspectratio="f"/>
              <v:textbox inset="0mm,0mm,0mm,0mm" style="mso-fit-shape-to-text:t;">
                <w:txbxContent>
                  <w:p>
                    <w:pPr>
                      <w:pStyle w:val="5"/>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mc:Fallback>
      </mc:AlternateConten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oNotHyphenateCaps/>
  <w:drawingGridVerticalSpacing w:val="156"/>
  <w:displayHorizontalDrawingGridEvery w:val="1"/>
  <w:displayVerticalDrawingGridEvery w:val="1"/>
  <w:noPunctuationKerning w:val="true"/>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0154178"/>
    <w:rsid w:val="00212B3B"/>
    <w:rsid w:val="00217AD1"/>
    <w:rsid w:val="003518EE"/>
    <w:rsid w:val="004C37F4"/>
    <w:rsid w:val="006462FD"/>
    <w:rsid w:val="00795CED"/>
    <w:rsid w:val="008F7B3D"/>
    <w:rsid w:val="00AF513F"/>
    <w:rsid w:val="00BA71F1"/>
    <w:rsid w:val="00BC4D7D"/>
    <w:rsid w:val="00C37865"/>
    <w:rsid w:val="00C6637B"/>
    <w:rsid w:val="00D65E5D"/>
    <w:rsid w:val="00D7349D"/>
    <w:rsid w:val="00E53254"/>
    <w:rsid w:val="00F67A40"/>
    <w:rsid w:val="00FF006B"/>
    <w:rsid w:val="2FF8E3CD"/>
    <w:rsid w:val="37173543"/>
    <w:rsid w:val="3FF76880"/>
    <w:rsid w:val="52FC3EE1"/>
    <w:rsid w:val="5CFE607A"/>
    <w:rsid w:val="7AB7FF50"/>
    <w:rsid w:val="7BFEB0DB"/>
    <w:rsid w:val="7E7E0C43"/>
    <w:rsid w:val="A7995B93"/>
    <w:rsid w:val="CEFD3F3D"/>
    <w:rsid w:val="DBFF9900"/>
    <w:rsid w:val="E7FF1919"/>
    <w:rsid w:val="EA3F77F2"/>
    <w:rsid w:val="EEFE5989"/>
    <w:rsid w:val="EFCF3EAE"/>
    <w:rsid w:val="F2FF4CB7"/>
    <w:rsid w:val="F5B764A2"/>
    <w:rsid w:val="F77F09F4"/>
    <w:rsid w:val="FFBBDD20"/>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11"/>
    <w:qFormat/>
    <w:uiPriority w:val="99"/>
    <w:pPr>
      <w:keepNext/>
      <w:keepLines/>
      <w:spacing w:before="260" w:after="260" w:line="413" w:lineRule="auto"/>
      <w:outlineLvl w:val="1"/>
    </w:pPr>
    <w:rPr>
      <w:rFonts w:ascii="Arial" w:hAnsi="Arial" w:eastAsia="黑体" w:cs="Arial"/>
      <w:b/>
      <w:bCs/>
      <w:sz w:val="32"/>
      <w:szCs w:val="32"/>
    </w:rPr>
  </w:style>
  <w:style w:type="character" w:default="1" w:styleId="9">
    <w:name w:val="Default Paragraph Font"/>
    <w:semiHidden/>
    <w:qFormat/>
    <w:uiPriority w:val="99"/>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5"/>
    <w:semiHidden/>
    <w:qFormat/>
    <w:uiPriority w:val="99"/>
    <w:pPr>
      <w:jc w:val="left"/>
    </w:pPr>
  </w:style>
  <w:style w:type="paragraph" w:styleId="4">
    <w:name w:val="Balloon Text"/>
    <w:basedOn w:val="1"/>
    <w:link w:val="17"/>
    <w:semiHidden/>
    <w:qFormat/>
    <w:uiPriority w:val="99"/>
    <w:rPr>
      <w:sz w:val="18"/>
      <w:szCs w:val="18"/>
    </w:rPr>
  </w:style>
  <w:style w:type="paragraph" w:styleId="5">
    <w:name w:val="footer"/>
    <w:basedOn w:val="1"/>
    <w:link w:val="12"/>
    <w:qFormat/>
    <w:uiPriority w:val="99"/>
    <w:pPr>
      <w:tabs>
        <w:tab w:val="center" w:pos="4153"/>
        <w:tab w:val="right" w:pos="8306"/>
      </w:tabs>
      <w:snapToGrid w:val="0"/>
      <w:jc w:val="left"/>
    </w:pPr>
    <w:rPr>
      <w:sz w:val="18"/>
      <w:szCs w:val="18"/>
    </w:rPr>
  </w:style>
  <w:style w:type="paragraph" w:styleId="6">
    <w:name w:val="header"/>
    <w:basedOn w:val="1"/>
    <w:link w:val="13"/>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paragraph" w:styleId="7">
    <w:name w:val="annotation subject"/>
    <w:basedOn w:val="3"/>
    <w:next w:val="3"/>
    <w:link w:val="16"/>
    <w:semiHidden/>
    <w:qFormat/>
    <w:uiPriority w:val="99"/>
    <w:rPr>
      <w:b/>
      <w:bCs/>
    </w:rPr>
  </w:style>
  <w:style w:type="character" w:styleId="10">
    <w:name w:val="annotation reference"/>
    <w:basedOn w:val="9"/>
    <w:semiHidden/>
    <w:qFormat/>
    <w:uiPriority w:val="99"/>
    <w:rPr>
      <w:sz w:val="21"/>
      <w:szCs w:val="21"/>
    </w:rPr>
  </w:style>
  <w:style w:type="character" w:customStyle="1" w:styleId="11">
    <w:name w:val="Heading 2 Char"/>
    <w:basedOn w:val="9"/>
    <w:link w:val="2"/>
    <w:semiHidden/>
    <w:qFormat/>
    <w:locked/>
    <w:uiPriority w:val="99"/>
    <w:rPr>
      <w:rFonts w:ascii="Cambria" w:hAnsi="Cambria" w:eastAsia="宋体" w:cs="Cambria"/>
      <w:b/>
      <w:bCs/>
      <w:sz w:val="32"/>
      <w:szCs w:val="32"/>
    </w:rPr>
  </w:style>
  <w:style w:type="character" w:customStyle="1" w:styleId="12">
    <w:name w:val="Footer Char"/>
    <w:basedOn w:val="9"/>
    <w:link w:val="5"/>
    <w:semiHidden/>
    <w:qFormat/>
    <w:locked/>
    <w:uiPriority w:val="99"/>
    <w:rPr>
      <w:rFonts w:ascii="Times New Roman" w:hAnsi="Times New Roman" w:cs="Times New Roman"/>
      <w:sz w:val="18"/>
      <w:szCs w:val="18"/>
    </w:rPr>
  </w:style>
  <w:style w:type="character" w:customStyle="1" w:styleId="13">
    <w:name w:val="Header Char"/>
    <w:basedOn w:val="9"/>
    <w:link w:val="6"/>
    <w:semiHidden/>
    <w:qFormat/>
    <w:locked/>
    <w:uiPriority w:val="99"/>
    <w:rPr>
      <w:rFonts w:ascii="Times New Roman" w:hAnsi="Times New Roman" w:cs="Times New Roman"/>
      <w:sz w:val="18"/>
      <w:szCs w:val="18"/>
    </w:rPr>
  </w:style>
  <w:style w:type="paragraph" w:customStyle="1" w:styleId="14">
    <w:name w:val="列出段落1"/>
    <w:basedOn w:val="1"/>
    <w:qFormat/>
    <w:uiPriority w:val="99"/>
    <w:pPr>
      <w:ind w:firstLine="420" w:firstLineChars="200"/>
    </w:pPr>
    <w:rPr>
      <w:rFonts w:ascii="Calibri" w:hAnsi="Calibri" w:cs="Calibri"/>
    </w:rPr>
  </w:style>
  <w:style w:type="character" w:customStyle="1" w:styleId="15">
    <w:name w:val="Comment Text Char"/>
    <w:basedOn w:val="9"/>
    <w:link w:val="3"/>
    <w:semiHidden/>
    <w:qFormat/>
    <w:uiPriority w:val="99"/>
    <w:rPr>
      <w:rFonts w:ascii="Times New Roman" w:hAnsi="Times New Roman"/>
      <w:szCs w:val="21"/>
    </w:rPr>
  </w:style>
  <w:style w:type="character" w:customStyle="1" w:styleId="16">
    <w:name w:val="Comment Subject Char"/>
    <w:basedOn w:val="15"/>
    <w:link w:val="7"/>
    <w:semiHidden/>
    <w:qFormat/>
    <w:uiPriority w:val="99"/>
    <w:rPr>
      <w:b/>
      <w:bCs/>
    </w:rPr>
  </w:style>
  <w:style w:type="character" w:customStyle="1" w:styleId="17">
    <w:name w:val="Balloon Text Char"/>
    <w:basedOn w:val="9"/>
    <w:link w:val="4"/>
    <w:semiHidden/>
    <w:qFormat/>
    <w:uiPriority w:val="99"/>
    <w:rPr>
      <w:rFonts w:ascii="Times New Roman" w:hAnsi="Times New Roman"/>
      <w:sz w:val="0"/>
      <w:szCs w:val="0"/>
    </w:rPr>
  </w:style>
  <w:style w:type="character" w:customStyle="1" w:styleId="18">
    <w:name w:val="font01"/>
    <w:basedOn w:val="9"/>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2</Pages>
  <Words>251</Words>
  <Characters>1432</Characters>
  <Lines>0</Lines>
  <Paragraphs>0</Paragraphs>
  <TotalTime>7</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2022-03-11T19:16:00Z</dcterms:created>
  <dc:creator>user</dc:creator>
  <cp:lastModifiedBy>nyncj</cp:lastModifiedBy>
  <cp:lastPrinted>2023-05-29T22:31:00Z</cp:lastPrinted>
  <dcterms:modified xsi:type="dcterms:W3CDTF">2023-05-29T15:26:51Z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