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046" w:rsidRDefault="008E6046">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8E6046" w:rsidRDefault="008E6046">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8E6046" w:rsidRDefault="008E6046">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2022</w:t>
      </w:r>
      <w:r>
        <w:rPr>
          <w:rFonts w:ascii="仿宋_GB2312" w:eastAsia="仿宋_GB2312" w:hAnsi="??" w:cs="仿宋_GB2312" w:hint="eastAsia"/>
          <w:sz w:val="28"/>
          <w:szCs w:val="28"/>
        </w:rPr>
        <w:t>年度）</w:t>
      </w:r>
    </w:p>
    <w:p w:rsidR="008E6046" w:rsidRDefault="008E6046">
      <w:pPr>
        <w:spacing w:line="240" w:lineRule="exact"/>
        <w:rPr>
          <w:rFonts w:ascii="仿宋_GB2312" w:eastAsia="仿宋_GB2312" w:hAnsi="??"/>
          <w:sz w:val="30"/>
          <w:szCs w:val="30"/>
        </w:rPr>
      </w:pPr>
    </w:p>
    <w:tbl>
      <w:tblPr>
        <w:tblW w:w="9039" w:type="dxa"/>
        <w:jc w:val="center"/>
        <w:tblLayout w:type="fixed"/>
        <w:tblLook w:val="00A0"/>
      </w:tblPr>
      <w:tblGrid>
        <w:gridCol w:w="585"/>
        <w:gridCol w:w="975"/>
        <w:gridCol w:w="1105"/>
        <w:gridCol w:w="727"/>
        <w:gridCol w:w="1127"/>
        <w:gridCol w:w="283"/>
        <w:gridCol w:w="849"/>
        <w:gridCol w:w="848"/>
        <w:gridCol w:w="279"/>
        <w:gridCol w:w="284"/>
        <w:gridCol w:w="420"/>
        <w:gridCol w:w="143"/>
        <w:gridCol w:w="703"/>
        <w:gridCol w:w="711"/>
      </w:tblGrid>
      <w:tr w:rsidR="008E6046">
        <w:trPr>
          <w:trHeight w:val="262"/>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9" w:type="dxa"/>
            <w:gridSpan w:val="1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净菜升级预制菜技术研究及示范应用项目</w:t>
            </w:r>
          </w:p>
        </w:tc>
      </w:tr>
      <w:tr w:rsidR="008E6046">
        <w:trPr>
          <w:trHeight w:val="262"/>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北京市农业农村局</w:t>
            </w:r>
          </w:p>
        </w:tc>
        <w:tc>
          <w:tcPr>
            <w:tcW w:w="1127"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1" w:type="dxa"/>
            <w:gridSpan w:val="5"/>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产业发展处</w:t>
            </w:r>
          </w:p>
        </w:tc>
      </w:tr>
      <w:tr w:rsidR="008E6046">
        <w:trPr>
          <w:trHeight w:val="262"/>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林然</w:t>
            </w:r>
          </w:p>
        </w:tc>
        <w:tc>
          <w:tcPr>
            <w:tcW w:w="1127"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1" w:type="dxa"/>
            <w:gridSpan w:val="5"/>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62356579</w:t>
            </w:r>
          </w:p>
        </w:tc>
      </w:tr>
      <w:tr w:rsidR="008E6046">
        <w:trPr>
          <w:trHeight w:val="514"/>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1"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8E6046">
        <w:trPr>
          <w:trHeight w:val="262"/>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60</w:t>
            </w:r>
          </w:p>
        </w:tc>
        <w:tc>
          <w:tcPr>
            <w:tcW w:w="1132"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60</w:t>
            </w:r>
          </w:p>
        </w:tc>
        <w:tc>
          <w:tcPr>
            <w:tcW w:w="1127"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60</w:t>
            </w:r>
          </w:p>
        </w:tc>
        <w:tc>
          <w:tcPr>
            <w:tcW w:w="704"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711"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r>
      <w:tr w:rsidR="008E6046">
        <w:trPr>
          <w:trHeight w:val="514"/>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60</w:t>
            </w:r>
          </w:p>
        </w:tc>
        <w:tc>
          <w:tcPr>
            <w:tcW w:w="1132"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60</w:t>
            </w:r>
          </w:p>
        </w:tc>
        <w:tc>
          <w:tcPr>
            <w:tcW w:w="1127"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60</w:t>
            </w:r>
          </w:p>
        </w:tc>
        <w:tc>
          <w:tcPr>
            <w:tcW w:w="704"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711"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r>
      <w:tr w:rsidR="008E6046">
        <w:trPr>
          <w:trHeight w:val="514"/>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32"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27"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04"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11"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r>
      <w:tr w:rsidR="008E6046">
        <w:trPr>
          <w:trHeight w:val="262"/>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32"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1127"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04" w:type="dxa"/>
            <w:gridSpan w:val="2"/>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0</w:t>
            </w:r>
          </w:p>
        </w:tc>
        <w:tc>
          <w:tcPr>
            <w:tcW w:w="711" w:type="dxa"/>
            <w:tcBorders>
              <w:top w:val="nil"/>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r>
      <w:tr w:rsidR="008E6046">
        <w:trPr>
          <w:trHeight w:val="262"/>
          <w:jc w:val="center"/>
        </w:trPr>
        <w:tc>
          <w:tcPr>
            <w:tcW w:w="585" w:type="dxa"/>
            <w:vMerge w:val="restart"/>
            <w:tcBorders>
              <w:top w:val="nil"/>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8" w:type="dxa"/>
            <w:gridSpan w:val="7"/>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8E6046">
        <w:trPr>
          <w:trHeight w:val="3035"/>
          <w:jc w:val="center"/>
        </w:trPr>
        <w:tc>
          <w:tcPr>
            <w:tcW w:w="585" w:type="dxa"/>
            <w:vMerge/>
            <w:tcBorders>
              <w:top w:val="nil"/>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hint="eastAsia"/>
                <w:kern w:val="0"/>
              </w:rPr>
              <w:t>为鼓励和引导北京市净菜加工企业，适应市场需求，向预制菜肴产业转型升级，开展净菜加工企业提档升级为预制菜加工企业的研究。以蔬菜类预制菜为切入点，建设蔬菜类预制菜加工标准与生产规范体系，并在北京市净菜加工企业中示范应用，引导预制菜产业高质量、可持续发展。</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hint="eastAsia"/>
                <w:kern w:val="0"/>
              </w:rPr>
              <w:t>本项目拟调查北京净菜加工企业现状并对北京市净菜加工企业提档升级为预制菜加工企业进行研究。研制北京市蔬菜类预制菜加工标准与规范体系；选取</w:t>
            </w:r>
            <w:r>
              <w:rPr>
                <w:rFonts w:ascii="仿宋_GB2312" w:eastAsia="仿宋_GB2312" w:hAnsi="??" w:cs="仿宋_GB2312"/>
                <w:kern w:val="0"/>
              </w:rPr>
              <w:t>3-5</w:t>
            </w:r>
            <w:r>
              <w:rPr>
                <w:rFonts w:ascii="仿宋_GB2312" w:eastAsia="仿宋_GB2312" w:hAnsi="??" w:cs="仿宋_GB2312" w:hint="eastAsia"/>
                <w:kern w:val="0"/>
              </w:rPr>
              <w:t>家北京市净菜加工企业提档升级为预制菜加工的典型企业，推广应用标准与规范体系，完成净菜到预制菜加工的产业升级。鼓励净菜加工企业向现代农业产业园区聚集，实现预制菜加工全产业链布局，示范带动蔬菜产业高质量发展。</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hint="eastAsia"/>
                <w:kern w:val="0"/>
              </w:rPr>
              <w:t>本项目主要内容包括三个部分：</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kern w:val="0"/>
              </w:rPr>
              <w:t>1.</w:t>
            </w:r>
            <w:r>
              <w:rPr>
                <w:rFonts w:ascii="仿宋_GB2312" w:eastAsia="仿宋_GB2312" w:hAnsi="??" w:cs="仿宋_GB2312" w:hint="eastAsia"/>
                <w:kern w:val="0"/>
              </w:rPr>
              <w:t>研究蔬菜类预制菜加工技术规范</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hint="eastAsia"/>
                <w:kern w:val="0"/>
              </w:rPr>
              <w:t>调查北京净菜加工企业，了解目前发展现状及升级为预制菜加工产业的发展瓶颈。</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hint="eastAsia"/>
                <w:kern w:val="0"/>
              </w:rPr>
              <w:t>对北京市净菜加工企业提档升级为预制菜加工企业进行研究，包括对车间布局、生产管理及标准规范等方面进行研究，并以</w:t>
            </w:r>
            <w:r>
              <w:rPr>
                <w:rFonts w:ascii="仿宋_GB2312" w:eastAsia="仿宋_GB2312" w:hAnsi="??" w:cs="仿宋_GB2312"/>
                <w:kern w:val="0"/>
              </w:rPr>
              <w:t>6-8</w:t>
            </w:r>
            <w:r>
              <w:rPr>
                <w:rFonts w:ascii="仿宋_GB2312" w:eastAsia="仿宋_GB2312" w:hAnsi="??" w:cs="仿宋_GB2312" w:hint="eastAsia"/>
                <w:kern w:val="0"/>
              </w:rPr>
              <w:t>种蔬菜类预制菜为对象，建立北京市蔬菜类预制菜加工技术规范，包括生产布局、原料验收管理规范、生产规范及操作规程、预制菜产品标准等系列标准规范文件。</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kern w:val="0"/>
              </w:rPr>
              <w:t>2.</w:t>
            </w:r>
            <w:r>
              <w:rPr>
                <w:rFonts w:ascii="仿宋_GB2312" w:eastAsia="仿宋_GB2312" w:hAnsi="??" w:cs="仿宋_GB2312" w:hint="eastAsia"/>
                <w:kern w:val="0"/>
              </w:rPr>
              <w:t>开展北京净菜加工企业提档升级为预制菜加工企业的示范应用</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hint="eastAsia"/>
                <w:kern w:val="0"/>
              </w:rPr>
              <w:t>选取</w:t>
            </w:r>
            <w:r>
              <w:rPr>
                <w:rFonts w:ascii="仿宋_GB2312" w:eastAsia="仿宋_GB2312" w:hAnsi="??" w:cs="仿宋_GB2312"/>
                <w:kern w:val="0"/>
              </w:rPr>
              <w:t>3-5</w:t>
            </w:r>
            <w:r>
              <w:rPr>
                <w:rFonts w:ascii="仿宋_GB2312" w:eastAsia="仿宋_GB2312" w:hAnsi="??" w:cs="仿宋_GB2312" w:hint="eastAsia"/>
                <w:kern w:val="0"/>
              </w:rPr>
              <w:t>家北京市净菜加工企业提档升级为预制菜加工企业，推广应用制定的技术规范。完成净菜加工车间升级，建立符合安全、绿色要求的预制菜生产条件，完成净菜到预制菜加工的产业升级，并完成相关管理体系升级，示范带动预制菜产业高质量发展。</w:t>
            </w:r>
          </w:p>
        </w:tc>
        <w:tc>
          <w:tcPr>
            <w:tcW w:w="3388" w:type="dxa"/>
            <w:gridSpan w:val="7"/>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left"/>
              <w:rPr>
                <w:rFonts w:ascii="仿宋_GB2312" w:eastAsia="仿宋_GB2312" w:hAnsi="??"/>
                <w:kern w:val="0"/>
              </w:rPr>
            </w:pPr>
            <w:r>
              <w:rPr>
                <w:rFonts w:ascii="仿宋_GB2312" w:eastAsia="仿宋_GB2312" w:hAnsi="??" w:cs="仿宋_GB2312" w:hint="eastAsia"/>
                <w:kern w:val="0"/>
              </w:rPr>
              <w:t>完成了以下工作：</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kern w:val="0"/>
              </w:rPr>
              <w:t>1.</w:t>
            </w:r>
            <w:r>
              <w:rPr>
                <w:rFonts w:ascii="仿宋_GB2312" w:eastAsia="仿宋_GB2312" w:hAnsi="??" w:cs="仿宋_GB2312" w:hint="eastAsia"/>
                <w:kern w:val="0"/>
              </w:rPr>
              <w:t>研究了蔬菜类预制菜加工技术规范</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hint="eastAsia"/>
                <w:kern w:val="0"/>
              </w:rPr>
              <w:t>调查北京净菜加工企业，了解目前发展现状及升级为预制菜加工产业的发展瓶颈。</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hint="eastAsia"/>
                <w:kern w:val="0"/>
              </w:rPr>
              <w:t>对北京市净菜加工企业提档升级为预制菜加工企业进行研究，包括对车间布局、生产管理及标准规范等方面进行研究，并以</w:t>
            </w:r>
            <w:r>
              <w:rPr>
                <w:rFonts w:ascii="仿宋_GB2312" w:eastAsia="仿宋_GB2312" w:hAnsi="??" w:cs="仿宋_GB2312"/>
                <w:kern w:val="0"/>
              </w:rPr>
              <w:t>6-8</w:t>
            </w:r>
            <w:r>
              <w:rPr>
                <w:rFonts w:ascii="仿宋_GB2312" w:eastAsia="仿宋_GB2312" w:hAnsi="??" w:cs="仿宋_GB2312" w:hint="eastAsia"/>
                <w:kern w:val="0"/>
              </w:rPr>
              <w:t>种蔬菜类预制菜为对象，建立北京市蔬菜类预制菜加工技术规范，包括生产布局、原料验收管理规范、生产规范及操作规程、预制菜产品标准等系列标准规范文件。</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kern w:val="0"/>
              </w:rPr>
              <w:t>2.</w:t>
            </w:r>
            <w:r>
              <w:rPr>
                <w:rFonts w:ascii="仿宋_GB2312" w:eastAsia="仿宋_GB2312" w:hAnsi="??" w:cs="仿宋_GB2312" w:hint="eastAsia"/>
                <w:kern w:val="0"/>
              </w:rPr>
              <w:t>开展了北京净菜加工企业提档升级为预制菜加工企业的示范应用</w:t>
            </w:r>
          </w:p>
          <w:p w:rsidR="008E6046" w:rsidRDefault="008E6046" w:rsidP="008E6046">
            <w:pPr>
              <w:widowControl/>
              <w:spacing w:line="240" w:lineRule="exact"/>
              <w:ind w:firstLineChars="200" w:firstLine="31680"/>
              <w:jc w:val="left"/>
              <w:rPr>
                <w:rFonts w:ascii="仿宋_GB2312" w:eastAsia="仿宋_GB2312" w:hAnsi="??"/>
                <w:kern w:val="0"/>
              </w:rPr>
            </w:pPr>
            <w:r>
              <w:rPr>
                <w:rFonts w:ascii="仿宋_GB2312" w:eastAsia="仿宋_GB2312" w:hAnsi="??" w:cs="仿宋_GB2312" w:hint="eastAsia"/>
                <w:kern w:val="0"/>
              </w:rPr>
              <w:t>选取了</w:t>
            </w:r>
            <w:r>
              <w:rPr>
                <w:rFonts w:ascii="仿宋_GB2312" w:eastAsia="仿宋_GB2312" w:hAnsi="??" w:cs="仿宋_GB2312"/>
                <w:kern w:val="0"/>
              </w:rPr>
              <w:t>5</w:t>
            </w:r>
            <w:r>
              <w:rPr>
                <w:rFonts w:ascii="仿宋_GB2312" w:eastAsia="仿宋_GB2312" w:hAnsi="??" w:cs="仿宋_GB2312" w:hint="eastAsia"/>
                <w:kern w:val="0"/>
              </w:rPr>
              <w:t>家北京市净菜加工企业提档升级为预制菜加工企业，推广应用制定的技术规范。完成净菜加工车间升级，建立符合安全、绿色要求的预制菜生产条件，完成净菜到预制菜加工的产业升级，并完成相关管理体系升级，示范带动预制菜产业高质量发展。</w:t>
            </w:r>
          </w:p>
        </w:tc>
      </w:tr>
      <w:tr w:rsidR="008E6046">
        <w:trPr>
          <w:trHeight w:val="766"/>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414"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8E6046">
        <w:trPr>
          <w:trHeight w:val="51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建立北京市蔬菜类预制菜加工技术规范</w:t>
            </w:r>
          </w:p>
        </w:tc>
        <w:tc>
          <w:tcPr>
            <w:tcW w:w="849"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kern w:val="0"/>
              </w:rPr>
              <w:t>=4</w:t>
            </w:r>
            <w:r>
              <w:rPr>
                <w:rFonts w:ascii="仿宋_GB2312" w:eastAsia="仿宋_GB2312" w:hAnsi="??" w:cs="仿宋_GB2312" w:hint="eastAsia"/>
                <w:kern w:val="0"/>
              </w:rPr>
              <w:t>个</w:t>
            </w:r>
          </w:p>
        </w:tc>
        <w:tc>
          <w:tcPr>
            <w:tcW w:w="848"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kern w:val="0"/>
              </w:rPr>
              <w:t>5</w:t>
            </w:r>
            <w:r>
              <w:rPr>
                <w:rFonts w:ascii="仿宋_GB2312" w:eastAsia="仿宋_GB2312" w:hAnsi="??" w:cs="仿宋_GB2312" w:hint="eastAsia"/>
                <w:kern w:val="0"/>
              </w:rPr>
              <w:t>个</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25</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25</w:t>
            </w:r>
          </w:p>
        </w:tc>
        <w:tc>
          <w:tcPr>
            <w:tcW w:w="1414"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r>
      <w:tr w:rsidR="008E6046">
        <w:trPr>
          <w:trHeight w:val="101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选取净菜加工典型企业，推广应用技术规范，升级为预制菜生产企业</w:t>
            </w:r>
          </w:p>
        </w:tc>
        <w:tc>
          <w:tcPr>
            <w:tcW w:w="849"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w:t>
            </w:r>
            <w:r>
              <w:rPr>
                <w:rFonts w:ascii="仿宋_GB2312" w:eastAsia="仿宋_GB2312" w:hAnsi="??" w:cs="仿宋_GB2312"/>
                <w:kern w:val="0"/>
              </w:rPr>
              <w:t>3</w:t>
            </w:r>
            <w:r>
              <w:rPr>
                <w:rFonts w:ascii="仿宋_GB2312" w:eastAsia="仿宋_GB2312" w:hAnsi="??" w:cs="仿宋_GB2312" w:hint="eastAsia"/>
                <w:kern w:val="0"/>
              </w:rPr>
              <w:t>至</w:t>
            </w:r>
            <w:r>
              <w:rPr>
                <w:rFonts w:ascii="仿宋_GB2312" w:eastAsia="仿宋_GB2312" w:hAnsi="??" w:cs="仿宋_GB2312"/>
                <w:kern w:val="0"/>
              </w:rPr>
              <w:t>5</w:t>
            </w:r>
            <w:r>
              <w:rPr>
                <w:rFonts w:ascii="仿宋_GB2312" w:eastAsia="仿宋_GB2312" w:hAnsi="??" w:cs="仿宋_GB2312" w:hint="eastAsia"/>
                <w:kern w:val="0"/>
              </w:rPr>
              <w:t>家</w:t>
            </w:r>
          </w:p>
        </w:tc>
        <w:tc>
          <w:tcPr>
            <w:tcW w:w="848"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kern w:val="0"/>
              </w:rPr>
              <w:t>5</w:t>
            </w:r>
            <w:r>
              <w:rPr>
                <w:rFonts w:ascii="仿宋_GB2312" w:eastAsia="仿宋_GB2312" w:hAnsi="??" w:cs="仿宋_GB2312" w:hint="eastAsia"/>
                <w:kern w:val="0"/>
              </w:rPr>
              <w:t>个</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25</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25</w:t>
            </w:r>
          </w:p>
        </w:tc>
        <w:tc>
          <w:tcPr>
            <w:tcW w:w="1414"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r>
      <w:tr w:rsidR="008E6046">
        <w:trPr>
          <w:trHeight w:val="51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项目完成时限</w:t>
            </w:r>
          </w:p>
        </w:tc>
        <w:tc>
          <w:tcPr>
            <w:tcW w:w="849"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w:t>
            </w:r>
            <w:r>
              <w:rPr>
                <w:rFonts w:ascii="仿宋_GB2312" w:eastAsia="仿宋_GB2312" w:hAnsi="??" w:cs="仿宋_GB2312"/>
                <w:kern w:val="0"/>
              </w:rPr>
              <w:t>2022</w:t>
            </w:r>
            <w:r>
              <w:rPr>
                <w:rFonts w:ascii="仿宋_GB2312" w:eastAsia="仿宋_GB2312" w:hAnsi="??" w:cs="仿宋_GB2312" w:hint="eastAsia"/>
                <w:kern w:val="0"/>
              </w:rPr>
              <w:t>年</w:t>
            </w:r>
          </w:p>
        </w:tc>
        <w:tc>
          <w:tcPr>
            <w:tcW w:w="848"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kern w:val="0"/>
              </w:rPr>
              <w:t>2022</w:t>
            </w:r>
            <w:r>
              <w:rPr>
                <w:rFonts w:ascii="仿宋_GB2312" w:eastAsia="仿宋_GB2312" w:hAnsi="??" w:cs="仿宋_GB2312" w:hint="eastAsia"/>
                <w:kern w:val="0"/>
              </w:rPr>
              <w:t>年</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w:t>
            </w:r>
            <w:bookmarkStart w:id="0" w:name="_GoBack"/>
            <w:bookmarkEnd w:id="0"/>
            <w:r>
              <w:rPr>
                <w:rFonts w:ascii="仿宋_GB2312" w:eastAsia="仿宋_GB2312" w:hAnsi="??" w:cs="仿宋_GB2312"/>
                <w:kern w:val="0"/>
              </w:rPr>
              <w:t>0</w:t>
            </w:r>
          </w:p>
        </w:tc>
        <w:tc>
          <w:tcPr>
            <w:tcW w:w="1414"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r>
      <w:tr w:rsidR="008E6046" w:rsidTr="00617FB7">
        <w:trPr>
          <w:trHeight w:val="51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shd w:val="clear" w:color="auto" w:fill="FFFFFF"/>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shd w:val="clear" w:color="auto" w:fill="FFFFFF"/>
            <w:vAlign w:val="center"/>
          </w:tcPr>
          <w:p w:rsidR="008E6046" w:rsidRDefault="008E604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支出总金额</w:t>
            </w:r>
          </w:p>
        </w:tc>
        <w:tc>
          <w:tcPr>
            <w:tcW w:w="849"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w:t>
            </w:r>
            <w:r>
              <w:rPr>
                <w:rFonts w:ascii="仿宋_GB2312" w:eastAsia="仿宋_GB2312" w:hAnsi="??" w:cs="仿宋_GB2312"/>
                <w:kern w:val="0"/>
              </w:rPr>
              <w:t>60</w:t>
            </w:r>
            <w:r>
              <w:rPr>
                <w:rFonts w:ascii="仿宋_GB2312" w:eastAsia="仿宋_GB2312" w:hAnsi="??" w:cs="仿宋_GB2312" w:hint="eastAsia"/>
                <w:kern w:val="0"/>
              </w:rPr>
              <w:t>万</w:t>
            </w:r>
          </w:p>
        </w:tc>
        <w:tc>
          <w:tcPr>
            <w:tcW w:w="848"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kern w:val="0"/>
              </w:rPr>
              <w:t>60</w:t>
            </w:r>
            <w:r>
              <w:rPr>
                <w:rFonts w:ascii="仿宋_GB2312" w:eastAsia="仿宋_GB2312" w:hAnsi="??" w:cs="仿宋_GB2312" w:hint="eastAsia"/>
                <w:kern w:val="0"/>
              </w:rPr>
              <w:t>万</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4"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r>
      <w:tr w:rsidR="008E6046">
        <w:trPr>
          <w:trHeight w:val="101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支持净菜加工企业向预制菜产业转型升级，实现全产业链发展</w:t>
            </w:r>
          </w:p>
        </w:tc>
        <w:tc>
          <w:tcPr>
            <w:tcW w:w="849"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定性</w:t>
            </w:r>
          </w:p>
        </w:tc>
        <w:tc>
          <w:tcPr>
            <w:tcW w:w="848"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9</w:t>
            </w:r>
          </w:p>
        </w:tc>
        <w:tc>
          <w:tcPr>
            <w:tcW w:w="1414"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r>
      <w:tr w:rsidR="008E6046">
        <w:trPr>
          <w:trHeight w:val="51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示范带动蔬菜产业高质量、可持续发展</w:t>
            </w:r>
          </w:p>
        </w:tc>
        <w:tc>
          <w:tcPr>
            <w:tcW w:w="849"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定性</w:t>
            </w:r>
          </w:p>
        </w:tc>
        <w:tc>
          <w:tcPr>
            <w:tcW w:w="848" w:type="dxa"/>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仿宋_GB2312" w:hint="eastAsia"/>
                <w:kern w:val="0"/>
              </w:rPr>
              <w:t>优</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kern w:val="0"/>
              </w:rPr>
            </w:pPr>
            <w:r>
              <w:rPr>
                <w:rFonts w:ascii="仿宋_GB2312" w:eastAsia="仿宋_GB2312" w:hAnsi="??" w:cs="仿宋_GB2312"/>
                <w:kern w:val="0"/>
              </w:rPr>
              <w:t>9</w:t>
            </w:r>
          </w:p>
        </w:tc>
        <w:tc>
          <w:tcPr>
            <w:tcW w:w="1414"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r>
              <w:rPr>
                <w:rFonts w:ascii="仿宋_GB2312" w:eastAsia="仿宋_GB2312" w:hAnsi="??" w:cs="??"/>
                <w:kern w:val="0"/>
              </w:rPr>
              <w:t>—</w:t>
            </w:r>
          </w:p>
        </w:tc>
      </w:tr>
      <w:tr w:rsidR="008E6046">
        <w:trPr>
          <w:trHeight w:val="273"/>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563"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98</w:t>
            </w:r>
          </w:p>
        </w:tc>
        <w:tc>
          <w:tcPr>
            <w:tcW w:w="1414" w:type="dxa"/>
            <w:gridSpan w:val="2"/>
            <w:tcBorders>
              <w:top w:val="single" w:sz="4" w:space="0" w:color="auto"/>
              <w:left w:val="nil"/>
              <w:bottom w:val="single" w:sz="4" w:space="0" w:color="auto"/>
              <w:right w:val="single" w:sz="4" w:space="0" w:color="auto"/>
            </w:tcBorders>
            <w:vAlign w:val="center"/>
          </w:tcPr>
          <w:p w:rsidR="008E6046" w:rsidRDefault="008E6046">
            <w:pPr>
              <w:widowControl/>
              <w:spacing w:line="240" w:lineRule="exact"/>
              <w:jc w:val="center"/>
              <w:rPr>
                <w:rFonts w:ascii="仿宋_GB2312" w:eastAsia="仿宋_GB2312" w:hAnsi="??"/>
                <w:kern w:val="0"/>
              </w:rPr>
            </w:pPr>
          </w:p>
        </w:tc>
      </w:tr>
    </w:tbl>
    <w:p w:rsidR="008E6046" w:rsidRDefault="008E6046">
      <w:pPr>
        <w:rPr>
          <w:rFonts w:ascii="仿宋_GB2312" w:eastAsia="仿宋_GB2312"/>
          <w:vanish/>
          <w:sz w:val="32"/>
          <w:szCs w:val="32"/>
        </w:rPr>
      </w:pPr>
    </w:p>
    <w:p w:rsidR="008E6046" w:rsidRDefault="008E6046">
      <w:pPr>
        <w:widowControl/>
        <w:jc w:val="left"/>
        <w:rPr>
          <w:rFonts w:ascii="仿宋_GB2312" w:eastAsia="仿宋_GB2312" w:hAnsi="??"/>
          <w:color w:val="000000"/>
          <w:kern w:val="0"/>
          <w:sz w:val="32"/>
          <w:szCs w:val="32"/>
        </w:rPr>
      </w:pPr>
    </w:p>
    <w:p w:rsidR="008E6046" w:rsidRDefault="008E6046">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8E6046" w:rsidRDefault="008E6046" w:rsidP="0018611F">
      <w:pPr>
        <w:widowControl/>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8E6046" w:rsidRDefault="008E6046">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8E6046" w:rsidRDefault="008E6046" w:rsidP="0018611F">
      <w:pPr>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8E6046" w:rsidRDefault="008E6046" w:rsidP="00E70708">
      <w:pPr>
        <w:spacing w:line="520" w:lineRule="exact"/>
        <w:ind w:firstLineChars="200" w:firstLine="3168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8E6046" w:rsidSect="00F12051">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046" w:rsidRDefault="008E6046" w:rsidP="00F12051">
      <w:r>
        <w:separator/>
      </w:r>
    </w:p>
  </w:endnote>
  <w:endnote w:type="continuationSeparator" w:id="0">
    <w:p w:rsidR="008E6046" w:rsidRDefault="008E6046" w:rsidP="00F120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
    <w:altName w:val="DejaVu Math TeX Gyre"/>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046" w:rsidRDefault="008E6046">
    <w:pPr>
      <w:pStyle w:val="Footer"/>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60288;mso-wrap-style:none;mso-position-horizontal:right;mso-position-horizontal-relative:margin" filled="f" stroked="f" strokeweight=".5pt">
          <v:textbox style="mso-fit-shape-to-text:t" inset="0,0,0,0">
            <w:txbxContent>
              <w:p w:rsidR="008E6046" w:rsidRDefault="008E6046">
                <w:pPr>
                  <w:pStyle w:val="Footer"/>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Pr="00617FB7">
                  <w:rPr>
                    <w:rFonts w:ascii="??" w:hAnsi="??" w:cs="??"/>
                    <w:noProof/>
                    <w:sz w:val="28"/>
                    <w:szCs w:val="28"/>
                    <w:lang w:val="zh-CN"/>
                  </w:rPr>
                  <w:t>-</w:t>
                </w:r>
                <w:r>
                  <w:rPr>
                    <w:rFonts w:ascii="??" w:hAnsi="??" w:cs="??"/>
                    <w:noProof/>
                    <w:sz w:val="28"/>
                    <w:szCs w:val="28"/>
                  </w:rPr>
                  <w:t xml:space="preserve"> 2 -</w:t>
                </w:r>
                <w:r>
                  <w:rPr>
                    <w:rFonts w:ascii="??" w:hAnsi="??" w:cs="??"/>
                    <w:sz w:val="28"/>
                    <w:szCs w:val="28"/>
                  </w:rPr>
                  <w:fldChar w:fldCharType="end"/>
                </w:r>
              </w:p>
            </w:txbxContent>
          </v:textbox>
          <w10:wrap anchorx="margin"/>
        </v:shape>
      </w:pict>
    </w:r>
  </w:p>
  <w:p w:rsidR="008E6046" w:rsidRDefault="008E60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046" w:rsidRDefault="008E6046" w:rsidP="00F12051">
      <w:r>
        <w:separator/>
      </w:r>
    </w:p>
  </w:footnote>
  <w:footnote w:type="continuationSeparator" w:id="0">
    <w:p w:rsidR="008E6046" w:rsidRDefault="008E6046" w:rsidP="00F120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F77F09F4"/>
    <w:rsid w:val="CEFD3F3D"/>
    <w:rsid w:val="EA3F77F2"/>
    <w:rsid w:val="EAFF8777"/>
    <w:rsid w:val="EEFE5989"/>
    <w:rsid w:val="EFCF3EAE"/>
    <w:rsid w:val="F5B764A2"/>
    <w:rsid w:val="F77F09F4"/>
    <w:rsid w:val="FFD7BFFC"/>
    <w:rsid w:val="FFFA6B0F"/>
    <w:rsid w:val="0018611F"/>
    <w:rsid w:val="00212B3B"/>
    <w:rsid w:val="00250653"/>
    <w:rsid w:val="003518EE"/>
    <w:rsid w:val="004C37F4"/>
    <w:rsid w:val="005A3462"/>
    <w:rsid w:val="00617FB7"/>
    <w:rsid w:val="006462FD"/>
    <w:rsid w:val="008E6046"/>
    <w:rsid w:val="008F7B3D"/>
    <w:rsid w:val="00AF513F"/>
    <w:rsid w:val="00BC4D7D"/>
    <w:rsid w:val="00C6637B"/>
    <w:rsid w:val="00D65E5D"/>
    <w:rsid w:val="00D7349D"/>
    <w:rsid w:val="00E53254"/>
    <w:rsid w:val="00E70708"/>
    <w:rsid w:val="00F12051"/>
    <w:rsid w:val="00F67A40"/>
    <w:rsid w:val="37173543"/>
    <w:rsid w:val="3FF76880"/>
    <w:rsid w:val="673DEF7F"/>
    <w:rsid w:val="7AB7FF50"/>
    <w:rsid w:val="7BFEB0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051"/>
    <w:pPr>
      <w:widowControl w:val="0"/>
      <w:jc w:val="both"/>
    </w:pPr>
    <w:rPr>
      <w:rFonts w:ascii="Times New Roman" w:hAnsi="Times New Roman"/>
      <w:szCs w:val="21"/>
    </w:rPr>
  </w:style>
  <w:style w:type="paragraph" w:styleId="Heading2">
    <w:name w:val="heading 2"/>
    <w:basedOn w:val="Normal"/>
    <w:next w:val="Normal"/>
    <w:link w:val="Heading2Char"/>
    <w:uiPriority w:val="99"/>
    <w:qFormat/>
    <w:rsid w:val="00F12051"/>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F12051"/>
    <w:rPr>
      <w:rFonts w:ascii="Cambria" w:eastAsia="宋体" w:hAnsi="Cambria" w:cs="Cambria"/>
      <w:b/>
      <w:bCs/>
      <w:sz w:val="32"/>
      <w:szCs w:val="32"/>
    </w:rPr>
  </w:style>
  <w:style w:type="paragraph" w:styleId="Footer">
    <w:name w:val="footer"/>
    <w:basedOn w:val="Normal"/>
    <w:link w:val="FooterChar"/>
    <w:uiPriority w:val="99"/>
    <w:rsid w:val="00F1205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12051"/>
    <w:rPr>
      <w:rFonts w:ascii="Times New Roman" w:hAnsi="Times New Roman" w:cs="Times New Roman"/>
      <w:sz w:val="18"/>
      <w:szCs w:val="18"/>
    </w:rPr>
  </w:style>
  <w:style w:type="paragraph" w:styleId="Header">
    <w:name w:val="header"/>
    <w:basedOn w:val="Normal"/>
    <w:link w:val="HeaderChar"/>
    <w:uiPriority w:val="99"/>
    <w:rsid w:val="00F12051"/>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F12051"/>
    <w:rPr>
      <w:rFonts w:ascii="Times New Roman" w:hAnsi="Times New Roman" w:cs="Times New Roman"/>
      <w:sz w:val="18"/>
      <w:szCs w:val="18"/>
    </w:rPr>
  </w:style>
  <w:style w:type="paragraph" w:customStyle="1" w:styleId="1">
    <w:name w:val="列出段落1"/>
    <w:basedOn w:val="Normal"/>
    <w:uiPriority w:val="99"/>
    <w:rsid w:val="00F12051"/>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296</Words>
  <Characters>1691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chanyechu</cp:lastModifiedBy>
  <cp:revision>7</cp:revision>
  <cp:lastPrinted>2022-03-25T02:01:00Z</cp:lastPrinted>
  <dcterms:created xsi:type="dcterms:W3CDTF">2022-03-10T19:16:00Z</dcterms:created>
  <dcterms:modified xsi:type="dcterms:W3CDTF">2023-05-24T08:23:00Z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