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p>
    <w:p>
      <w:pPr>
        <w:spacing w:line="480" w:lineRule="exact"/>
        <w:jc w:val="center"/>
        <w:outlineLvl w:val="0"/>
        <w:rPr>
          <w:rFonts w:ascii="方正小标宋简体" w:hAnsi="黑体" w:eastAsia="方正小标宋简体"/>
          <w:sz w:val="36"/>
          <w:szCs w:val="36"/>
        </w:rPr>
      </w:pPr>
      <w:r>
        <w:rPr>
          <w:rFonts w:hint="eastAsia" w:ascii="方正小标宋_GBK" w:hAnsi="方正小标宋_GBK" w:eastAsia="方正小标宋_GBK" w:cs="方正小标宋_GBK"/>
          <w:sz w:val="36"/>
          <w:szCs w:val="36"/>
        </w:rPr>
        <w:t>项目支出绩效自评表</w:t>
      </w:r>
    </w:p>
    <w:p>
      <w:pPr>
        <w:spacing w:line="480" w:lineRule="exact"/>
        <w:outlineLvl w:val="0"/>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（2022年度）</w:t>
      </w:r>
    </w:p>
    <w:p>
      <w:pPr>
        <w:spacing w:line="240" w:lineRule="exact"/>
        <w:rPr>
          <w:rFonts w:ascii="仿宋_GB2312" w:hAnsi="??"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633"/>
        <w:gridCol w:w="494"/>
        <w:gridCol w:w="890"/>
        <w:gridCol w:w="1090"/>
        <w:gridCol w:w="279"/>
        <w:gridCol w:w="284"/>
        <w:gridCol w:w="420"/>
        <w:gridCol w:w="458"/>
        <w:gridCol w:w="388"/>
        <w:gridCol w:w="710"/>
      </w:tblGrid>
      <w:tr>
        <w:tblPrEx>
          <w:tblCellMar>
            <w:top w:w="0" w:type="dxa"/>
            <w:left w:w="108" w:type="dxa"/>
            <w:bottom w:w="0" w:type="dxa"/>
            <w:right w:w="108" w:type="dxa"/>
          </w:tblCellMar>
        </w:tblPrEx>
        <w:trPr>
          <w:trHeight w:val="54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设施蔬菜生产机械化、智能化生产及配套服务水平提升</w:t>
            </w:r>
          </w:p>
        </w:tc>
      </w:tr>
      <w:tr>
        <w:tblPrEx>
          <w:tblCellMar>
            <w:top w:w="0" w:type="dxa"/>
            <w:left w:w="108" w:type="dxa"/>
            <w:bottom w:w="0" w:type="dxa"/>
            <w:right w:w="108" w:type="dxa"/>
          </w:tblCellMar>
        </w:tblPrEx>
        <w:trPr>
          <w:trHeight w:val="46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8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北京市农业机械试验鉴定推广站</w:t>
            </w:r>
          </w:p>
        </w:tc>
      </w:tr>
      <w:tr>
        <w:tblPrEx>
          <w:tblCellMar>
            <w:top w:w="0" w:type="dxa"/>
            <w:left w:w="108" w:type="dxa"/>
            <w:bottom w:w="0" w:type="dxa"/>
            <w:right w:w="108" w:type="dxa"/>
          </w:tblCellMar>
        </w:tblPrEx>
        <w:trPr>
          <w:trHeight w:val="41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8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秦贵</w:t>
            </w: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010-59198688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265.13</w:t>
            </w: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262.67</w:t>
            </w: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262.6</w:t>
            </w:r>
            <w:r>
              <w:rPr>
                <w:rFonts w:ascii="仿宋_GB2312" w:hAnsi="??" w:eastAsia="仿宋_GB2312"/>
                <w:kern w:val="0"/>
              </w:rPr>
              <w:t>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265.13</w:t>
            </w: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262.67</w:t>
            </w: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262.6</w:t>
            </w:r>
            <w:r>
              <w:rPr>
                <w:rFonts w:ascii="仿宋_GB2312" w:hAnsi="??" w:eastAsia="仿宋_GB2312"/>
                <w:kern w:val="0"/>
              </w:rPr>
              <w:t>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8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62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445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82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按照“突破薄弱、全面提升”的原则，一是通过设施农业宜机化研究与改造，提升设施宜机化水平；二是通过机械化技术装备研究和试验，提升设施生产机械化水平；三是通过农机智能化技术研究和试验，提升设施精准作业水平；四是通过机械化、智能化技术集成示范，为设施蔬菜生产提供整体解决方案。五是通过配套技术服务，提升设施农机化推广能力和社会化服务水平。通过开展上述工作，探索京郊设施蔬菜生产机械化、智能化发展模式，为促进设施蔬菜产业发展提供技术支撑。</w:t>
            </w:r>
          </w:p>
        </w:tc>
        <w:tc>
          <w:tcPr>
            <w:tcW w:w="3629"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一是设计建造适用于机械化蔬菜生产的大跨度新型塑料大棚4栋，改造宜机化日光温室10栋、塑料大棚6栋。二是购置各环节机械装备12台套、租赁各环节机械装备5台套，开展各环节机械化技术试验示范。三是购置各环节农机智能装备4台套、租赁农机智能装备6台套，完成农机智能化技术试验示范。四是形成各类配套方案和报告8篇，召开7次机械化、智能化技术培训和现场会等。五是开展智能装备鉴定3次。开展机械化技术作业规范与社会化服务模式研究，探索形成以农机合作社和设施园区为主体的草莓生产农机社会化服务模式2种，撰写研究报告1份。建设“农机零距离”直播间，制作“农机零距离”技术宣传短视频5期。</w:t>
            </w:r>
          </w:p>
        </w:tc>
      </w:tr>
      <w:tr>
        <w:tblPrEx>
          <w:tblCellMar>
            <w:top w:w="0" w:type="dxa"/>
            <w:left w:w="108" w:type="dxa"/>
            <w:bottom w:w="0" w:type="dxa"/>
            <w:right w:w="108" w:type="dxa"/>
          </w:tblCellMar>
        </w:tblPrEx>
        <w:trPr>
          <w:trHeight w:val="94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09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8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设计建造适用于机械化蔬菜生产的大跨度新型塑料大棚4栋</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4栋</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5</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5</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1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日光温室宜机化改造10</w:t>
            </w:r>
            <w:r>
              <w:rPr>
                <w:rStyle w:val="12"/>
                <w:rFonts w:hint="default" w:hAnsi="宋体"/>
                <w:lang w:bidi="ar"/>
              </w:rPr>
              <w:t>栋</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10栋</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4</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4</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指标3：</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塑料大棚宜机化改造6栋</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6栋</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指标4：</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购置设备16台套</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16台套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5</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5</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指标5：</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租赁设备11台套</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11台套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3</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3</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指标6：</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以番茄为代表的果菜生产机械化技术配套解决方案1套</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8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指标7：</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以菠菜、菜心等为代表的叶菜生产机械化技术配套解决方案1套</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6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b/>
                <w:bCs/>
                <w:color w:val="000000"/>
                <w:kern w:val="0"/>
              </w:rPr>
            </w:pPr>
            <w:r>
              <w:rPr>
                <w:rFonts w:hint="eastAsia" w:ascii="仿宋_GB2312" w:hAnsi="??" w:eastAsia="仿宋_GB2312" w:cs="仿宋_GB2312"/>
                <w:color w:val="000000"/>
                <w:kern w:val="0"/>
              </w:rPr>
              <w:t>指标8：</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设施蔬菜（番茄、菜心等）智能水肥一体化技术方案</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指标9：</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草莓生产关键环节农机社会化服务模式研究报告1篇</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1篇</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指标10：</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形成农机检验报告1份</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指标11：</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建设智能农机鉴定测试场地1个</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1个</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1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指标12：</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制作农机零距离短视频5期</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5期</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7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指标13：</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撰写论文1篇</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1篇</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7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撰写试验报告</w:t>
            </w: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指标14：</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撰写试验报告3篇</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3篇</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2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购置的各环节农机设备符合设备出厂要求</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98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各租赁设备符合设备性能要求</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3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指标3：</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大型智能施肥机施肥流量单通道≥300L/h</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lang w:val="en"/>
              </w:rPr>
            </w:pPr>
            <w:r>
              <w:rPr>
                <w:rFonts w:hint="eastAsia" w:ascii="仿宋_GB2312" w:hAnsi="宋体" w:eastAsia="仿宋_GB2312" w:cs="仿宋_GB2312"/>
                <w:color w:val="000000"/>
                <w:kern w:val="0"/>
                <w:lang w:bidi="ar"/>
              </w:rPr>
              <w:t>600L/h</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9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指标4：</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智能控制设备控制电路数量≥6</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lang w:val="en"/>
              </w:rPr>
            </w:pPr>
            <w:r>
              <w:rPr>
                <w:rFonts w:hint="eastAsia" w:ascii="仿宋_GB2312" w:hAnsi="宋体" w:eastAsia="仿宋_GB2312" w:cs="仿宋_GB2312"/>
                <w:color w:val="000000"/>
                <w:kern w:val="0"/>
                <w:lang w:bidi="ar"/>
              </w:rPr>
              <w:t>10</w:t>
            </w:r>
            <w:r>
              <w:rPr>
                <w:rStyle w:val="12"/>
                <w:rFonts w:hint="default" w:hAnsi="宋体"/>
                <w:lang w:bidi="ar"/>
              </w:rPr>
              <w:t>路</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w:t>
            </w: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指标5：</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初加工打捆合格率≥95%</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 w:eastAsia="仿宋_GB2312"/>
                <w:kern w:val="0"/>
              </w:rPr>
              <w:t>98%</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1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指标6：</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起垄破垄机械化作业合格率≥90%</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 w:eastAsia="仿宋_GB2312"/>
                <w:kern w:val="0"/>
              </w:rPr>
              <w:t>起垄95%，破垄100%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3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2022年3月31日前开展示范点的调研、方案制定</w:t>
            </w:r>
          </w:p>
        </w:tc>
        <w:tc>
          <w:tcPr>
            <w:tcW w:w="1090" w:type="dxa"/>
            <w:tcBorders>
              <w:top w:val="single" w:color="auto" w:sz="4" w:space="0"/>
              <w:left w:val="nil"/>
              <w:bottom w:val="single" w:color="auto" w:sz="4" w:space="0"/>
              <w:right w:val="single" w:color="auto" w:sz="4" w:space="0"/>
            </w:tcBorders>
            <w:vAlign w:val="center"/>
          </w:tcPr>
          <w:p>
            <w:pPr>
              <w:rPr>
                <w:rFonts w:ascii="仿宋_GB2312" w:hAnsi="??" w:eastAsia="仿宋_GB2312"/>
                <w:kern w:val="0"/>
              </w:rPr>
            </w:pPr>
            <w:r>
              <w:rPr>
                <w:rFonts w:hint="eastAsia" w:ascii="仿宋_GB2312" w:hAnsi="??" w:eastAsia="仿宋_GB2312"/>
                <w:kern w:val="0"/>
              </w:rPr>
              <w:t>部分试验方案定稿于4月-5月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1.5</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 w:eastAsia="仿宋_GB2312"/>
                <w:kern w:val="0"/>
              </w:rPr>
              <w:t>部分试验方案定稿于4月-5月</w:t>
            </w:r>
          </w:p>
        </w:tc>
      </w:tr>
      <w:tr>
        <w:tblPrEx>
          <w:tblCellMar>
            <w:top w:w="0" w:type="dxa"/>
            <w:left w:w="108" w:type="dxa"/>
            <w:bottom w:w="0" w:type="dxa"/>
            <w:right w:w="108" w:type="dxa"/>
          </w:tblCellMar>
        </w:tblPrEx>
        <w:trPr>
          <w:trHeight w:val="16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2022年7月31日前开展项目试验</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宋体" w:eastAsia="仿宋_GB2312" w:cs="仿宋_GB2312"/>
                <w:color w:val="000000"/>
                <w:kern w:val="0"/>
                <w:lang w:bidi="ar"/>
              </w:rPr>
              <w:t>受疫情影响，部分技术试验开始晚一些</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1.5</w:t>
            </w:r>
          </w:p>
        </w:tc>
        <w:tc>
          <w:tcPr>
            <w:tcW w:w="1098"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仿宋_GB2312"/>
                <w:color w:val="000000"/>
                <w:kern w:val="0"/>
                <w:lang w:bidi="ar"/>
              </w:rPr>
            </w:pPr>
            <w:r>
              <w:rPr>
                <w:rFonts w:hint="eastAsia" w:ascii="仿宋_GB2312" w:hAnsi="宋体" w:eastAsia="仿宋_GB2312" w:cs="仿宋_GB2312"/>
                <w:color w:val="000000"/>
                <w:kern w:val="0"/>
                <w:lang w:bidi="ar"/>
              </w:rPr>
              <w:t>受疫情影响，部分技术试验开始晚一些</w:t>
            </w:r>
          </w:p>
        </w:tc>
      </w:tr>
      <w:tr>
        <w:tblPrEx>
          <w:tblCellMar>
            <w:top w:w="0" w:type="dxa"/>
            <w:left w:w="108" w:type="dxa"/>
            <w:bottom w:w="0" w:type="dxa"/>
            <w:right w:w="108" w:type="dxa"/>
          </w:tblCellMar>
        </w:tblPrEx>
        <w:trPr>
          <w:trHeight w:val="15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指标3：</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2022年9月30日前完成春茬作物试验</w:t>
            </w:r>
          </w:p>
        </w:tc>
        <w:tc>
          <w:tcPr>
            <w:tcW w:w="1090" w:type="dxa"/>
            <w:tcBorders>
              <w:top w:val="single" w:color="auto" w:sz="4" w:space="0"/>
              <w:left w:val="nil"/>
              <w:bottom w:val="single" w:color="auto" w:sz="4" w:space="0"/>
              <w:right w:val="single" w:color="auto" w:sz="4" w:space="0"/>
            </w:tcBorders>
            <w:vAlign w:val="center"/>
          </w:tcPr>
          <w:p>
            <w:pPr>
              <w:jc w:val="center"/>
              <w:rPr>
                <w:rFonts w:hint="eastAsia" w:ascii="仿宋_GB2312" w:hAnsi="??" w:eastAsia="仿宋_GB2312"/>
                <w:kern w:val="0"/>
                <w:lang w:eastAsia="zh-CN"/>
              </w:rPr>
            </w:pPr>
            <w:r>
              <w:rPr>
                <w:rFonts w:hint="eastAsia" w:ascii="仿宋_GB2312" w:hAnsi="宋体" w:eastAsia="仿宋_GB2312" w:cs="仿宋_GB2312"/>
                <w:color w:val="000000"/>
                <w:kern w:val="0"/>
                <w:lang w:bidi="ar"/>
              </w:rPr>
              <w:t>2022年9月30日前完成春茬作物</w:t>
            </w:r>
            <w:r>
              <w:rPr>
                <w:rFonts w:hint="eastAsia" w:ascii="仿宋_GB2312" w:hAnsi="宋体" w:eastAsia="仿宋_GB2312" w:cs="仿宋_GB2312"/>
                <w:color w:val="000000"/>
                <w:kern w:val="0"/>
                <w:lang w:eastAsia="zh-CN" w:bidi="ar"/>
              </w:rPr>
              <w:t>试验</w:t>
            </w:r>
            <w:bookmarkStart w:id="0" w:name="_GoBack"/>
            <w:bookmarkEnd w:id="0"/>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仿宋_GB2312"/>
                <w:color w:val="000000"/>
                <w:kern w:val="0"/>
                <w:lang w:bidi="ar"/>
              </w:rPr>
            </w:pPr>
          </w:p>
        </w:tc>
      </w:tr>
      <w:tr>
        <w:tblPrEx>
          <w:tblCellMar>
            <w:top w:w="0" w:type="dxa"/>
            <w:left w:w="108" w:type="dxa"/>
            <w:bottom w:w="0" w:type="dxa"/>
            <w:right w:w="108" w:type="dxa"/>
          </w:tblCellMar>
        </w:tblPrEx>
        <w:trPr>
          <w:trHeight w:val="15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指标4：</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2022年12月31日前完成项目归纳总结</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宋体" w:eastAsia="仿宋_GB2312" w:cs="仿宋_GB2312"/>
                <w:color w:val="000000"/>
                <w:kern w:val="0"/>
                <w:lang w:bidi="ar"/>
              </w:rPr>
              <w:t>秋茬果菜试验跨年度进行，2023年3月拉秧</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1.5</w:t>
            </w:r>
          </w:p>
        </w:tc>
        <w:tc>
          <w:tcPr>
            <w:tcW w:w="109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秋茬果菜试验跨年度进行，2023年3月拉秧</w:t>
            </w:r>
          </w:p>
        </w:tc>
      </w:tr>
      <w:tr>
        <w:tblPrEx>
          <w:tblCellMar>
            <w:top w:w="0" w:type="dxa"/>
            <w:left w:w="108" w:type="dxa"/>
            <w:bottom w:w="0" w:type="dxa"/>
            <w:right w:w="108" w:type="dxa"/>
          </w:tblCellMar>
        </w:tblPrEx>
        <w:trPr>
          <w:trHeight w:val="7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设备购置费67.07万元</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 w:eastAsia="仿宋_GB2312"/>
                <w:kern w:val="0"/>
              </w:rPr>
              <w:t>67.07万元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7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材料费不大于66.08万</w:t>
            </w:r>
          </w:p>
        </w:tc>
        <w:tc>
          <w:tcPr>
            <w:tcW w:w="109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r>
              <w:rPr>
                <w:rFonts w:hint="eastAsia" w:ascii="仿宋_GB2312" w:hAnsi="??" w:eastAsia="仿宋_GB2312"/>
                <w:kern w:val="0"/>
              </w:rPr>
              <w:t>66.079974万元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6</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6</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0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指标3：</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项目总成本不超过265.13万元</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262.635161万元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w:t>
            </w:r>
          </w:p>
        </w:tc>
        <w:tc>
          <w:tcPr>
            <w:tcW w:w="1098" w:type="dxa"/>
            <w:gridSpan w:val="2"/>
            <w:tcBorders>
              <w:top w:val="single" w:color="auto" w:sz="4" w:space="0"/>
              <w:left w:val="nil"/>
              <w:bottom w:val="single" w:color="auto" w:sz="4" w:space="0"/>
              <w:right w:val="single" w:color="auto" w:sz="4" w:space="0"/>
            </w:tcBorders>
            <w:vAlign w:val="center"/>
          </w:tcPr>
          <w:p>
            <w:pPr>
              <w:jc w:val="center"/>
              <w:rPr>
                <w:rFonts w:ascii="仿宋_GB2312" w:hAnsi="??" w:eastAsia="仿宋_GB2312"/>
                <w:kern w:val="0"/>
              </w:rPr>
            </w:pPr>
          </w:p>
        </w:tc>
      </w:tr>
      <w:tr>
        <w:tblPrEx>
          <w:tblCellMar>
            <w:top w:w="0" w:type="dxa"/>
            <w:left w:w="108" w:type="dxa"/>
            <w:bottom w:w="0" w:type="dxa"/>
            <w:right w:w="108" w:type="dxa"/>
          </w:tblCellMar>
        </w:tblPrEx>
        <w:trPr>
          <w:trHeight w:val="19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叶菜生产主要环节机械化技术相对传统方式节约劳动力30%以上</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不带根收获叶菜89.29%，带根收获叶菜90.87%</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1.8</w:t>
            </w:r>
          </w:p>
        </w:tc>
        <w:tc>
          <w:tcPr>
            <w:tcW w:w="109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项目中机械代替传统方式的环节机械作业效率高</w:t>
            </w:r>
          </w:p>
        </w:tc>
      </w:tr>
      <w:tr>
        <w:tblPrEx>
          <w:tblCellMar>
            <w:top w:w="0" w:type="dxa"/>
            <w:left w:w="108" w:type="dxa"/>
            <w:bottom w:w="0" w:type="dxa"/>
            <w:right w:w="108" w:type="dxa"/>
          </w:tblCellMar>
        </w:tblPrEx>
        <w:trPr>
          <w:trHeight w:val="19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果菜生产主要环节机械化技术相对传统方式节约劳动力15%以上</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87.34%</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1.6</w:t>
            </w:r>
          </w:p>
        </w:tc>
        <w:tc>
          <w:tcPr>
            <w:tcW w:w="109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项目中机械代替传统方式的环节机械作业效率高</w:t>
            </w:r>
          </w:p>
        </w:tc>
      </w:tr>
      <w:tr>
        <w:tblPrEx>
          <w:tblCellMar>
            <w:top w:w="0" w:type="dxa"/>
            <w:left w:w="108" w:type="dxa"/>
            <w:bottom w:w="0" w:type="dxa"/>
            <w:right w:w="108" w:type="dxa"/>
          </w:tblCellMar>
        </w:tblPrEx>
        <w:trPr>
          <w:trHeight w:val="18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lang w:val="en"/>
              </w:rPr>
              <w:t>3</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智能水肥设备相对于传统文丘里吸肥器提高劳动效率30%以上</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200%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2</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1.4</w:t>
            </w:r>
          </w:p>
        </w:tc>
        <w:tc>
          <w:tcPr>
            <w:tcW w:w="109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示范点往年水肥适用机械化水平较低</w:t>
            </w:r>
          </w:p>
        </w:tc>
      </w:tr>
      <w:tr>
        <w:tblPrEx>
          <w:tblCellMar>
            <w:top w:w="0" w:type="dxa"/>
            <w:left w:w="108" w:type="dxa"/>
            <w:bottom w:w="0" w:type="dxa"/>
            <w:right w:w="108" w:type="dxa"/>
          </w:tblCellMar>
        </w:tblPrEx>
        <w:trPr>
          <w:trHeight w:val="11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w:t>
            </w:r>
            <w:r>
              <w:rPr>
                <w:rFonts w:hint="eastAsia" w:ascii="仿宋_GB2312" w:hAnsi="??" w:eastAsia="仿宋_GB2312" w:cs="仿宋_GB2312"/>
                <w:kern w:val="0"/>
                <w:lang w:eastAsia="zh-CN"/>
              </w:rPr>
              <w:t>指</w:t>
            </w:r>
            <w:r>
              <w:rPr>
                <w:rFonts w:hint="eastAsia" w:ascii="仿宋_GB2312" w:hAnsi="??" w:eastAsia="仿宋_GB2312" w:cs="仿宋_GB2312"/>
                <w:kern w:val="0"/>
              </w:rPr>
              <w:t>标</w:t>
            </w:r>
          </w:p>
        </w:tc>
        <w:tc>
          <w:tcPr>
            <w:tcW w:w="13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384"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示范点对技术满意率85%以上</w:t>
            </w:r>
          </w:p>
        </w:tc>
        <w:tc>
          <w:tcPr>
            <w:tcW w:w="1090"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96.40%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10</w:t>
            </w:r>
          </w:p>
        </w:tc>
        <w:tc>
          <w:tcPr>
            <w:tcW w:w="878"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 w:eastAsia="仿宋_GB2312"/>
                <w:kern w:val="0"/>
              </w:rPr>
            </w:pPr>
            <w:r>
              <w:rPr>
                <w:rFonts w:hint="eastAsia" w:ascii="仿宋_GB2312" w:hAnsi="宋体" w:eastAsia="仿宋_GB2312" w:cs="仿宋_GB2312"/>
                <w:color w:val="000000"/>
                <w:kern w:val="0"/>
                <w:lang w:bidi="ar"/>
              </w:rPr>
              <w:t>9.8</w:t>
            </w:r>
          </w:p>
        </w:tc>
        <w:tc>
          <w:tcPr>
            <w:tcW w:w="1098" w:type="dxa"/>
            <w:gridSpan w:val="2"/>
            <w:tcBorders>
              <w:top w:val="single" w:color="auto" w:sz="4" w:space="0"/>
              <w:left w:val="nil"/>
              <w:bottom w:val="single" w:color="auto" w:sz="4" w:space="0"/>
              <w:right w:val="single" w:color="auto" w:sz="4" w:space="0"/>
            </w:tcBorders>
            <w:vAlign w:val="center"/>
          </w:tcPr>
          <w:p>
            <w:pPr>
              <w:rPr>
                <w:rFonts w:ascii="仿宋_GB2312" w:hAnsi="??" w:eastAsia="仿宋_GB2312"/>
                <w:kern w:val="0"/>
              </w:rPr>
            </w:pPr>
            <w:r>
              <w:rPr>
                <w:rFonts w:hint="eastAsia" w:ascii="仿宋_GB2312" w:hAnsi="??" w:eastAsia="仿宋_GB2312"/>
                <w:kern w:val="0"/>
              </w:rPr>
              <w:t>示范点对新技术认可度高</w:t>
            </w:r>
          </w:p>
        </w:tc>
      </w:tr>
      <w:tr>
        <w:tblPrEx>
          <w:tblCellMar>
            <w:top w:w="0" w:type="dxa"/>
            <w:left w:w="108" w:type="dxa"/>
            <w:bottom w:w="0" w:type="dxa"/>
            <w:right w:w="108" w:type="dxa"/>
          </w:tblCellMar>
        </w:tblPrEx>
        <w:trPr>
          <w:trHeight w:val="500"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100</w:t>
            </w:r>
          </w:p>
        </w:tc>
        <w:tc>
          <w:tcPr>
            <w:tcW w:w="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rPr>
              <w:t>97</w:t>
            </w:r>
          </w:p>
        </w:tc>
        <w:tc>
          <w:tcPr>
            <w:tcW w:w="109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
    <w:altName w:val="DejaVu Math TeX Gyre"/>
    <w:panose1 w:val="00000000000000000000"/>
    <w:charset w:val="00"/>
    <w:family w:val="auto"/>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5 -</w:t>
                          </w:r>
                          <w:r>
                            <w:rPr>
                              <w:rFonts w:ascii="??" w:hAnsi="??" w:cs="??"/>
                              <w:sz w:val="28"/>
                              <w:szCs w:val="28"/>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s0lY7tAAAAAFAQAADwAAAAAAAAABACAAAAA4AAAAZHJz&#10;L2Rvd25yZXYueG1sUEsBAhQAFAAAAAgAh07iQJINoBq9AQAAXQMAAA4AAAAAAAAAAQAgAAAANQEA&#10;AGRycy9lMm9Eb2MueG1sUEsFBgAAAAAGAAYAWQEAAGQFAAAAAA==&#10;">
              <v:fill on="f" focussize="0,0"/>
              <v:stroke on="f" weight="0.5pt"/>
              <v:imagedata o:title=""/>
              <o:lock v:ext="edit" aspectratio="f"/>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5 -</w:t>
                    </w:r>
                    <w:r>
                      <w:rPr>
                        <w:rFonts w:ascii="??" w:hAnsi="??" w:cs="??"/>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267A0"/>
    <w:rsid w:val="00212B3B"/>
    <w:rsid w:val="003518EE"/>
    <w:rsid w:val="004C37F4"/>
    <w:rsid w:val="00587C63"/>
    <w:rsid w:val="005F0D67"/>
    <w:rsid w:val="006462FD"/>
    <w:rsid w:val="0082763C"/>
    <w:rsid w:val="008457C8"/>
    <w:rsid w:val="00887C7A"/>
    <w:rsid w:val="008F7B3D"/>
    <w:rsid w:val="00993BD7"/>
    <w:rsid w:val="00A2768F"/>
    <w:rsid w:val="00A727D4"/>
    <w:rsid w:val="00AB0123"/>
    <w:rsid w:val="00AF513F"/>
    <w:rsid w:val="00BC4D7D"/>
    <w:rsid w:val="00C54318"/>
    <w:rsid w:val="00C6637B"/>
    <w:rsid w:val="00D65E5D"/>
    <w:rsid w:val="00D7349D"/>
    <w:rsid w:val="00E53254"/>
    <w:rsid w:val="00F67A40"/>
    <w:rsid w:val="00F70FAB"/>
    <w:rsid w:val="00FD3738"/>
    <w:rsid w:val="337FE144"/>
    <w:rsid w:val="35EF1885"/>
    <w:rsid w:val="37173543"/>
    <w:rsid w:val="3B7E19BA"/>
    <w:rsid w:val="3FF76880"/>
    <w:rsid w:val="3FFBD8CC"/>
    <w:rsid w:val="45EF61CD"/>
    <w:rsid w:val="767265F4"/>
    <w:rsid w:val="777AC8D9"/>
    <w:rsid w:val="7AB7FF50"/>
    <w:rsid w:val="7BFEB0DB"/>
    <w:rsid w:val="7F6B44F5"/>
    <w:rsid w:val="CEFD3F3D"/>
    <w:rsid w:val="DD5A8D3A"/>
    <w:rsid w:val="DFE652DB"/>
    <w:rsid w:val="EA3F77F2"/>
    <w:rsid w:val="ED7EA1B6"/>
    <w:rsid w:val="EEFE5989"/>
    <w:rsid w:val="EFCF3EAE"/>
    <w:rsid w:val="F2DF5056"/>
    <w:rsid w:val="F5B764A2"/>
    <w:rsid w:val="F77F09F4"/>
    <w:rsid w:val="FDB69247"/>
    <w:rsid w:val="FF573CE6"/>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basedOn w:val="7"/>
    <w:link w:val="2"/>
    <w:semiHidden/>
    <w:qFormat/>
    <w:locked/>
    <w:uiPriority w:val="99"/>
    <w:rPr>
      <w:rFonts w:ascii="Cambria" w:hAnsi="Cambria" w:eastAsia="宋体" w:cs="Cambria"/>
      <w:b/>
      <w:bCs/>
      <w:sz w:val="32"/>
      <w:szCs w:val="32"/>
    </w:rPr>
  </w:style>
  <w:style w:type="character" w:customStyle="1" w:styleId="9">
    <w:name w:val="页脚 Char"/>
    <w:basedOn w:val="7"/>
    <w:link w:val="4"/>
    <w:semiHidden/>
    <w:qFormat/>
    <w:locked/>
    <w:uiPriority w:val="99"/>
    <w:rPr>
      <w:rFonts w:ascii="Times New Roman" w:hAnsi="Times New Roman" w:cs="Times New Roman"/>
      <w:sz w:val="18"/>
      <w:szCs w:val="18"/>
    </w:rPr>
  </w:style>
  <w:style w:type="character" w:customStyle="1" w:styleId="10">
    <w:name w:val="页眉 Char"/>
    <w:basedOn w:val="7"/>
    <w:link w:val="5"/>
    <w:semiHidden/>
    <w:qFormat/>
    <w:locked/>
    <w:uiPriority w:val="99"/>
    <w:rPr>
      <w:rFonts w:ascii="Times New Roman" w:hAnsi="Times New Roman" w:cs="Times New Roman"/>
      <w:sz w:val="18"/>
      <w:szCs w:val="18"/>
    </w:rPr>
  </w:style>
  <w:style w:type="paragraph" w:customStyle="1" w:styleId="11">
    <w:name w:val="列出段落1"/>
    <w:basedOn w:val="1"/>
    <w:qFormat/>
    <w:uiPriority w:val="99"/>
    <w:pPr>
      <w:ind w:firstLine="420" w:firstLineChars="200"/>
    </w:pPr>
    <w:rPr>
      <w:rFonts w:ascii="Calibri" w:hAnsi="Calibri" w:cs="Calibri"/>
    </w:rPr>
  </w:style>
  <w:style w:type="character" w:customStyle="1" w:styleId="12">
    <w:name w:val="font01"/>
    <w:basedOn w:val="7"/>
    <w:qFormat/>
    <w:uiPriority w:val="0"/>
    <w:rPr>
      <w:rFonts w:hint="eastAsia" w:ascii="仿宋_GB2312" w:eastAsia="仿宋_GB2312" w:cs="仿宋_GB2312"/>
      <w:color w:val="000000"/>
      <w:sz w:val="21"/>
      <w:szCs w:val="21"/>
      <w:u w:val="none"/>
    </w:rPr>
  </w:style>
  <w:style w:type="character" w:customStyle="1" w:styleId="13">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346</Words>
  <Characters>1974</Characters>
  <Lines>16</Lines>
  <Paragraphs>4</Paragraphs>
  <TotalTime>13</TotalTime>
  <ScaleCrop>false</ScaleCrop>
  <LinksUpToDate>false</LinksUpToDate>
  <CharactersWithSpaces>2316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2023-05-17T19:33:00Z</dcterms:created>
  <dc:creator>user</dc:creator>
  <cp:lastModifiedBy>nyncj</cp:lastModifiedBy>
  <cp:lastPrinted>2023-05-17T23:37:00Z</cp:lastPrinted>
  <dcterms:modified xsi:type="dcterms:W3CDTF">2023-06-06T11:24:47Z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