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p>
    <w:p>
      <w:pPr>
        <w:spacing w:line="480"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w:t>
      </w:r>
      <w:r>
        <w:rPr>
          <w:rFonts w:hint="eastAsia" w:ascii="仿宋_GB2312" w:hAnsi="??" w:eastAsia="仿宋_GB2312" w:cs="仿宋_GB2312"/>
          <w:sz w:val="28"/>
          <w:szCs w:val="28"/>
          <w:lang w:val="en-US" w:eastAsia="zh-CN"/>
        </w:rPr>
        <w:t>2</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7"/>
        <w:tblW w:w="8871"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345"/>
        <w:gridCol w:w="218"/>
        <w:gridCol w:w="420"/>
        <w:gridCol w:w="255"/>
        <w:gridCol w:w="591"/>
        <w:gridCol w:w="543"/>
      </w:tblGrid>
      <w:tr>
        <w:tblPrEx>
          <w:tblCellMar>
            <w:top w:w="0" w:type="dxa"/>
            <w:left w:w="108" w:type="dxa"/>
            <w:bottom w:w="0" w:type="dxa"/>
            <w:right w:w="108" w:type="dxa"/>
          </w:tblCellMar>
        </w:tblPrEx>
        <w:trPr>
          <w:trHeight w:val="54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31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北京市乡村振兴科技项目</w:t>
            </w:r>
            <w:r>
              <w:rPr>
                <w:rFonts w:ascii="仿宋_GB2312" w:hAnsi="??" w:eastAsia="仿宋_GB2312" w:cs="仿宋_GB2312"/>
                <w:kern w:val="0"/>
              </w:rPr>
              <w:t>-</w:t>
            </w:r>
            <w:r>
              <w:rPr>
                <w:rFonts w:hint="eastAsia" w:ascii="仿宋_GB2312" w:hAnsi="??" w:eastAsia="仿宋_GB2312" w:cs="仿宋_GB2312"/>
                <w:kern w:val="0"/>
              </w:rPr>
              <w:t>设施水肥一体化智能装备测试方法研究与平台构建（第</w:t>
            </w:r>
            <w:r>
              <w:rPr>
                <w:rFonts w:ascii="仿宋_GB2312" w:hAnsi="??" w:eastAsia="仿宋_GB2312" w:cs="仿宋_GB2312"/>
                <w:kern w:val="0"/>
              </w:rPr>
              <w:t>1</w:t>
            </w:r>
            <w:r>
              <w:rPr>
                <w:rFonts w:hint="eastAsia" w:ascii="仿宋_GB2312" w:hAnsi="??" w:eastAsia="仿宋_GB2312" w:cs="仿宋_GB2312"/>
                <w:kern w:val="0"/>
              </w:rPr>
              <w:t>期）</w:t>
            </w:r>
            <w:r>
              <w:rPr>
                <w:rFonts w:ascii="仿宋_GB2312" w:hAnsi="??" w:eastAsia="仿宋_GB2312" w:cs="仿宋_GB2312"/>
                <w:kern w:val="0"/>
              </w:rPr>
              <w:t>-</w:t>
            </w:r>
            <w:r>
              <w:rPr>
                <w:rFonts w:hint="eastAsia" w:ascii="仿宋_GB2312" w:hAnsi="??" w:eastAsia="仿宋_GB2312" w:cs="仿宋_GB2312"/>
                <w:kern w:val="0"/>
              </w:rPr>
              <w:t>设施水肥一体化智能装备测试方法与关键测试系统研究</w:t>
            </w:r>
          </w:p>
        </w:tc>
      </w:tr>
      <w:tr>
        <w:tblPrEx>
          <w:tblCellMar>
            <w:top w:w="0" w:type="dxa"/>
            <w:left w:w="108" w:type="dxa"/>
            <w:bottom w:w="0" w:type="dxa"/>
            <w:right w:w="108" w:type="dxa"/>
          </w:tblCellMar>
        </w:tblPrEx>
        <w:trPr>
          <w:trHeight w:val="58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北京市农业农村局</w:t>
            </w: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02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北京市农业机械试验鉴定推广站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李小龙</w:t>
            </w: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02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010-59198701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63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54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75.5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68.09</w:t>
            </w: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67.656666</w:t>
            </w:r>
          </w:p>
        </w:tc>
        <w:tc>
          <w:tcPr>
            <w:tcW w:w="63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99%</w:t>
            </w:r>
          </w:p>
        </w:tc>
        <w:tc>
          <w:tcPr>
            <w:tcW w:w="54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9.9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75.5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68.09</w:t>
            </w: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67.656666</w:t>
            </w:r>
          </w:p>
        </w:tc>
        <w:tc>
          <w:tcPr>
            <w:tcW w:w="63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99%</w:t>
            </w:r>
          </w:p>
        </w:tc>
        <w:tc>
          <w:tcPr>
            <w:tcW w:w="54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3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3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22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98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通过鉴定推广机构、大学和科研院所等产学研推各部门深度融合，共同研究水肥一体化配套智能装备质量评价方法和测试规范。根据水肥一体化智能装备性能特点，研究系统流量精度等关键配套装置测定方法和测试系统，填补水肥设备智能配件测试的空白，明确自动化、智能化质量评价方法，提升水肥一体化智能装备检测的智能化水平，进而提高水肥一体化设备质量，促进高质量、高精度设备的推广应用，实现农业生产节水、节肥目标。具体目标为针对设施水肥一体化智能装备，研发适合我国设施农业生产灌溉特点的流量精度测定系统</w:t>
            </w:r>
            <w:r>
              <w:rPr>
                <w:rFonts w:ascii="仿宋_GB2312" w:hAnsi="??" w:eastAsia="仿宋_GB2312" w:cs="仿宋_GB2312"/>
                <w:kern w:val="0"/>
              </w:rPr>
              <w:t>1</w:t>
            </w:r>
            <w:r>
              <w:rPr>
                <w:rFonts w:hint="eastAsia" w:ascii="仿宋_GB2312" w:hAnsi="??" w:eastAsia="仿宋_GB2312" w:cs="仿宋_GB2312"/>
                <w:kern w:val="0"/>
              </w:rPr>
              <w:t>套；研发设施水肥一体化营养液配制精度远程自动化检测系统</w:t>
            </w:r>
            <w:r>
              <w:rPr>
                <w:rFonts w:ascii="仿宋_GB2312" w:hAnsi="??" w:eastAsia="仿宋_GB2312" w:cs="仿宋_GB2312"/>
                <w:kern w:val="0"/>
              </w:rPr>
              <w:t>1</w:t>
            </w:r>
            <w:r>
              <w:rPr>
                <w:rFonts w:hint="eastAsia" w:ascii="仿宋_GB2312" w:hAnsi="??" w:eastAsia="仿宋_GB2312" w:cs="仿宋_GB2312"/>
                <w:kern w:val="0"/>
              </w:rPr>
              <w:t>套。</w:t>
            </w:r>
          </w:p>
        </w:tc>
        <w:tc>
          <w:tcPr>
            <w:tcW w:w="322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已完成，研发适合我国设施农业生产灌溉特点的流量精度测定系统</w:t>
            </w:r>
            <w:r>
              <w:rPr>
                <w:rFonts w:ascii="仿宋_GB2312" w:hAnsi="??" w:eastAsia="仿宋_GB2312" w:cs="仿宋_GB2312"/>
                <w:kern w:val="0"/>
              </w:rPr>
              <w:t>1</w:t>
            </w:r>
            <w:r>
              <w:rPr>
                <w:rFonts w:hint="eastAsia" w:ascii="仿宋_GB2312" w:hAnsi="??" w:eastAsia="仿宋_GB2312" w:cs="仿宋_GB2312"/>
                <w:kern w:val="0"/>
              </w:rPr>
              <w:t>套；研发设施水肥一体化营养液配制精度远程自动化检测系统</w:t>
            </w:r>
            <w:r>
              <w:rPr>
                <w:rFonts w:ascii="仿宋_GB2312" w:hAnsi="??" w:eastAsia="仿宋_GB2312" w:cs="仿宋_GB2312"/>
                <w:kern w:val="0"/>
              </w:rPr>
              <w:t>1</w:t>
            </w:r>
            <w:r>
              <w:rPr>
                <w:rFonts w:hint="eastAsia" w:ascii="仿宋_GB2312" w:hAnsi="??" w:eastAsia="仿宋_GB2312" w:cs="仿宋_GB2312"/>
                <w:kern w:val="0"/>
              </w:rPr>
              <w:t>套。</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16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：研发设施水肥一体化营养液配制精度远程自动化检测系统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w:t>
            </w:r>
            <w:r>
              <w:rPr>
                <w:rFonts w:hint="eastAsia" w:ascii="仿宋_GB2312" w:hAnsi="??" w:eastAsia="仿宋_GB2312" w:cs="仿宋_GB2312"/>
                <w:kern w:val="0"/>
              </w:rPr>
              <w:t>套</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w:t>
            </w:r>
            <w:r>
              <w:rPr>
                <w:rFonts w:hint="eastAsia" w:ascii="仿宋_GB2312" w:hAnsi="??" w:eastAsia="仿宋_GB2312" w:cs="仿宋_GB2312"/>
                <w:kern w:val="0"/>
              </w:rPr>
              <w:t>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14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：研发设施水肥一体化系统流量精度测定系统</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w:t>
            </w:r>
            <w:r>
              <w:rPr>
                <w:rFonts w:hint="eastAsia" w:ascii="仿宋_GB2312" w:hAnsi="??" w:eastAsia="仿宋_GB2312" w:cs="仿宋_GB2312"/>
                <w:kern w:val="0"/>
              </w:rPr>
              <w:t>套</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w:t>
            </w:r>
            <w:r>
              <w:rPr>
                <w:rFonts w:hint="eastAsia" w:ascii="仿宋_GB2312" w:hAnsi="??" w:eastAsia="仿宋_GB2312" w:cs="仿宋_GB2312"/>
                <w:kern w:val="0"/>
              </w:rPr>
              <w:t>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21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：设施水肥一体化系统流量精度测定系统流量调控范围</w:t>
            </w:r>
            <w:r>
              <w:rPr>
                <w:rFonts w:ascii="仿宋_GB2312" w:hAnsi="??" w:eastAsia="仿宋_GB2312" w:cs="仿宋_GB2312"/>
                <w:color w:val="000000"/>
                <w:kern w:val="0"/>
              </w:rPr>
              <w:t>1~30m3/h</w:t>
            </w:r>
            <w:r>
              <w:rPr>
                <w:rFonts w:hint="eastAsia" w:ascii="仿宋_GB2312" w:hAnsi="??" w:eastAsia="仿宋_GB2312" w:cs="仿宋_GB2312"/>
                <w:color w:val="000000"/>
                <w:kern w:val="0"/>
              </w:rPr>
              <w:t>，流量检测精度等级±</w:t>
            </w:r>
            <w:r>
              <w:rPr>
                <w:rFonts w:ascii="仿宋_GB2312" w:hAnsi="??" w:eastAsia="仿宋_GB2312" w:cs="仿宋_GB2312"/>
                <w:color w:val="000000"/>
                <w:kern w:val="0"/>
              </w:rPr>
              <w:t>0.5%FS</w:t>
            </w:r>
            <w:r>
              <w:rPr>
                <w:rFonts w:hint="eastAsia" w:ascii="仿宋_GB2312" w:hAnsi="??" w:eastAsia="仿宋_GB2312" w:cs="仿宋_GB2312"/>
                <w:color w:val="000000"/>
                <w:kern w:val="0"/>
              </w:rPr>
              <w:t>；压力调控范围</w:t>
            </w:r>
            <w:r>
              <w:rPr>
                <w:rFonts w:ascii="仿宋_GB2312" w:hAnsi="??" w:eastAsia="仿宋_GB2312" w:cs="仿宋_GB2312"/>
                <w:color w:val="000000"/>
                <w:kern w:val="0"/>
              </w:rPr>
              <w:t>0.05MPa~1MPa</w:t>
            </w:r>
            <w:r>
              <w:rPr>
                <w:rFonts w:hint="eastAsia" w:ascii="仿宋_GB2312" w:hAnsi="??" w:eastAsia="仿宋_GB2312" w:cs="仿宋_GB2312"/>
                <w:color w:val="000000"/>
                <w:kern w:val="0"/>
              </w:rPr>
              <w:t>，压力检测精度等级±</w:t>
            </w:r>
            <w:r>
              <w:rPr>
                <w:rFonts w:ascii="仿宋_GB2312" w:hAnsi="??" w:eastAsia="仿宋_GB2312" w:cs="仿宋_GB2312"/>
                <w:color w:val="000000"/>
                <w:kern w:val="0"/>
              </w:rPr>
              <w:t>0.25%FS</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优良中低差</w:t>
            </w:r>
          </w:p>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24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r>
              <w:rPr>
                <w:rFonts w:ascii="仿宋_GB2312" w:hAnsi="??" w:eastAsia="仿宋_GB2312"/>
                <w:color w:val="000000"/>
                <w:kern w:val="0"/>
              </w:rPr>
              <w:tab/>
            </w:r>
            <w:r>
              <w:rPr>
                <w:rFonts w:hint="eastAsia" w:ascii="仿宋_GB2312" w:hAnsi="??" w:eastAsia="仿宋_GB2312" w:cs="仿宋_GB2312"/>
                <w:color w:val="000000"/>
                <w:kern w:val="0"/>
              </w:rPr>
              <w:t>设施水肥一体化营养液配制精度远程自动化检测系统该系统可完成施肥机出口及灌溉端营养液配制精度的综合在线检测，</w:t>
            </w:r>
            <w:r>
              <w:rPr>
                <w:rFonts w:ascii="仿宋_GB2312" w:hAnsi="??" w:eastAsia="仿宋_GB2312" w:cs="仿宋_GB2312"/>
                <w:color w:val="000000"/>
                <w:kern w:val="0"/>
              </w:rPr>
              <w:t>EC</w:t>
            </w:r>
            <w:r>
              <w:rPr>
                <w:rFonts w:hint="eastAsia" w:ascii="仿宋_GB2312" w:hAnsi="??" w:eastAsia="仿宋_GB2312" w:cs="仿宋_GB2312"/>
                <w:color w:val="000000"/>
                <w:kern w:val="0"/>
              </w:rPr>
              <w:t>检测误差±</w:t>
            </w:r>
            <w:r>
              <w:rPr>
                <w:rFonts w:ascii="仿宋_GB2312" w:hAnsi="??" w:eastAsia="仿宋_GB2312" w:cs="仿宋_GB2312"/>
                <w:color w:val="000000"/>
                <w:kern w:val="0"/>
              </w:rPr>
              <w:t>0.1mS/cm</w:t>
            </w:r>
            <w:r>
              <w:rPr>
                <w:rFonts w:hint="eastAsia" w:ascii="仿宋_GB2312" w:hAnsi="??" w:eastAsia="仿宋_GB2312" w:cs="仿宋_GB2312"/>
                <w:color w:val="000000"/>
                <w:kern w:val="0"/>
              </w:rPr>
              <w:t>，</w:t>
            </w:r>
            <w:r>
              <w:rPr>
                <w:rFonts w:ascii="仿宋_GB2312" w:hAnsi="??" w:eastAsia="仿宋_GB2312" w:cs="仿宋_GB2312"/>
                <w:color w:val="000000"/>
                <w:kern w:val="0"/>
              </w:rPr>
              <w:t>pH</w:t>
            </w:r>
            <w:r>
              <w:rPr>
                <w:rFonts w:hint="eastAsia" w:ascii="仿宋_GB2312" w:hAnsi="??" w:eastAsia="仿宋_GB2312" w:cs="仿宋_GB2312"/>
                <w:color w:val="000000"/>
                <w:kern w:val="0"/>
              </w:rPr>
              <w:t>检测误差±</w:t>
            </w:r>
            <w:r>
              <w:rPr>
                <w:rFonts w:ascii="仿宋_GB2312" w:hAnsi="??" w:eastAsia="仿宋_GB2312" w:cs="仿宋_GB2312"/>
                <w:color w:val="000000"/>
                <w:kern w:val="0"/>
              </w:rPr>
              <w:t>0.02</w:t>
            </w:r>
            <w:r>
              <w:rPr>
                <w:rFonts w:hint="eastAsia" w:ascii="仿宋_GB2312" w:hAnsi="??" w:eastAsia="仿宋_GB2312" w:cs="仿宋_GB2312"/>
                <w:color w:val="000000"/>
                <w:kern w:val="0"/>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优良中低差</w:t>
            </w:r>
          </w:p>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41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r>
              <w:rPr>
                <w:rFonts w:ascii="仿宋_GB2312" w:hAnsi="??" w:eastAsia="仿宋_GB2312" w:cs="仿宋_GB2312"/>
                <w:kern w:val="0"/>
              </w:rPr>
              <w:t>1</w:t>
            </w:r>
            <w:r>
              <w:rPr>
                <w:rFonts w:hint="eastAsia" w:ascii="仿宋_GB2312" w:hAnsi="??" w:eastAsia="仿宋_GB2312" w:cs="仿宋_GB2312"/>
                <w:kern w:val="0"/>
              </w:rPr>
              <w:t>：</w:t>
            </w:r>
            <w:r>
              <w:rPr>
                <w:rFonts w:ascii="仿宋_GB2312" w:hAnsi="??" w:eastAsia="仿宋_GB2312" w:cs="仿宋_GB2312"/>
                <w:kern w:val="0"/>
              </w:rPr>
              <w:t>1</w:t>
            </w:r>
            <w:r>
              <w:rPr>
                <w:rFonts w:hint="eastAsia" w:ascii="仿宋_GB2312" w:hAnsi="??" w:eastAsia="仿宋_GB2312" w:cs="仿宋_GB2312"/>
                <w:kern w:val="0"/>
              </w:rPr>
              <w:t>、收集水肥一体机检测标准和大纲，对水肥一体化设备种类、应用情况进行需求分析，对现有水肥一体机配套设备进行性能评估；</w:t>
            </w:r>
            <w:r>
              <w:rPr>
                <w:rFonts w:ascii="仿宋_GB2312" w:hAnsi="??" w:eastAsia="仿宋_GB2312" w:cs="仿宋_GB2312"/>
                <w:kern w:val="0"/>
              </w:rPr>
              <w:t>2</w:t>
            </w:r>
            <w:r>
              <w:rPr>
                <w:rFonts w:hint="eastAsia" w:ascii="仿宋_GB2312" w:hAnsi="??" w:eastAsia="仿宋_GB2312" w:cs="仿宋_GB2312"/>
                <w:kern w:val="0"/>
              </w:rPr>
              <w:t>、在京郊范围内开展水肥一体化设备推广现状及设备需求调研，赴山东、江苏、河北等地进行企业和产品调研。形成电磁阀、过滤系统、流量计及水肥一体化营养液配制效果检测方法及检测方案。</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6</w:t>
            </w:r>
            <w:r>
              <w:rPr>
                <w:rFonts w:hint="eastAsia" w:ascii="仿宋_GB2312" w:hAnsi="??" w:eastAsia="仿宋_GB2312" w:cs="仿宋_GB2312"/>
                <w:kern w:val="0"/>
              </w:rPr>
              <w:t>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6</w:t>
            </w:r>
            <w:r>
              <w:rPr>
                <w:rFonts w:hint="eastAsia" w:ascii="仿宋_GB2312" w:hAnsi="??" w:eastAsia="仿宋_GB2312" w:cs="仿宋_GB2312"/>
                <w:kern w:val="0"/>
              </w:rPr>
              <w:t>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21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r>
              <w:rPr>
                <w:rFonts w:ascii="仿宋_GB2312" w:hAnsi="??" w:eastAsia="仿宋_GB2312" w:cs="仿宋_GB2312"/>
                <w:color w:val="000000"/>
                <w:kern w:val="0"/>
              </w:rPr>
              <w:t>1</w:t>
            </w:r>
            <w:r>
              <w:rPr>
                <w:rFonts w:hint="eastAsia" w:ascii="仿宋_GB2312" w:hAnsi="??" w:eastAsia="仿宋_GB2312" w:cs="仿宋_GB2312"/>
                <w:color w:val="000000"/>
                <w:kern w:val="0"/>
              </w:rPr>
              <w:t>、结合调研成果及试验研究，明确设施水肥一体化装备中各关键设备的系统设计方案，构建测试系统；</w:t>
            </w:r>
            <w:r>
              <w:rPr>
                <w:rFonts w:ascii="仿宋_GB2312" w:hAnsi="??" w:eastAsia="仿宋_GB2312" w:cs="仿宋_GB2312"/>
                <w:color w:val="000000"/>
                <w:kern w:val="0"/>
              </w:rPr>
              <w:t>2</w:t>
            </w:r>
            <w:r>
              <w:rPr>
                <w:rFonts w:hint="eastAsia" w:ascii="仿宋_GB2312" w:hAnsi="??" w:eastAsia="仿宋_GB2312" w:cs="仿宋_GB2312"/>
                <w:color w:val="000000"/>
                <w:kern w:val="0"/>
              </w:rPr>
              <w:t>、项目资料收集、整理，准备项目验收</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12</w:t>
            </w:r>
            <w:r>
              <w:rPr>
                <w:rFonts w:hint="eastAsia" w:ascii="仿宋_GB2312" w:hAnsi="??" w:eastAsia="仿宋_GB2312" w:cs="仿宋_GB2312"/>
                <w:kern w:val="0"/>
              </w:rPr>
              <w:t>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2023</w:t>
            </w:r>
            <w:r>
              <w:rPr>
                <w:rFonts w:hint="eastAsia" w:ascii="仿宋_GB2312" w:hAnsi="??" w:eastAsia="仿宋_GB2312" w:cs="仿宋_GB2312"/>
                <w:kern w:val="0"/>
              </w:rPr>
              <w:t>年</w:t>
            </w:r>
            <w:r>
              <w:rPr>
                <w:rFonts w:ascii="仿宋_GB2312" w:hAnsi="??" w:eastAsia="仿宋_GB2312" w:cs="仿宋_GB2312"/>
                <w:kern w:val="0"/>
              </w:rPr>
              <w:t>2</w:t>
            </w:r>
            <w:r>
              <w:rPr>
                <w:rFonts w:hint="eastAsia" w:ascii="仿宋_GB2312" w:hAnsi="??" w:eastAsia="仿宋_GB2312" w:cs="仿宋_GB2312"/>
                <w:kern w:val="0"/>
              </w:rPr>
              <w:t>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7.5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疫情影响项目进度</w:t>
            </w:r>
          </w:p>
        </w:tc>
      </w:tr>
      <w:tr>
        <w:tblPrEx>
          <w:tblCellMar>
            <w:top w:w="0" w:type="dxa"/>
            <w:left w:w="108" w:type="dxa"/>
            <w:bottom w:w="0" w:type="dxa"/>
            <w:right w:w="108" w:type="dxa"/>
          </w:tblCellMar>
        </w:tblPrEx>
        <w:trPr>
          <w:trHeight w:val="7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75.5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67.656666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9.0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疫情影响，无法出差</w:t>
            </w:r>
          </w:p>
        </w:tc>
      </w:tr>
      <w:tr>
        <w:tblPrEx>
          <w:tblCellMar>
            <w:top w:w="0" w:type="dxa"/>
            <w:left w:w="108" w:type="dxa"/>
            <w:bottom w:w="0" w:type="dxa"/>
            <w:right w:w="108" w:type="dxa"/>
          </w:tblCellMar>
        </w:tblPrEx>
        <w:trPr>
          <w:trHeight w:val="22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：通过设备性能检测，规范水肥一体化设备市场，提升北京市设施农业水肥一体化设备应用率，提高设施农业节水节肥节劳效果，生产应用单位实现节水节肥</w:t>
            </w:r>
            <w:r>
              <w:rPr>
                <w:rFonts w:ascii="仿宋_GB2312" w:hAnsi="??" w:eastAsia="仿宋_GB2312" w:cs="仿宋_GB2312"/>
                <w:color w:val="000000"/>
                <w:kern w:val="0"/>
              </w:rPr>
              <w:t>5%</w:t>
            </w:r>
            <w:r>
              <w:rPr>
                <w:rFonts w:hint="eastAsia" w:ascii="仿宋_GB2312" w:hAnsi="??" w:eastAsia="仿宋_GB2312" w:cs="仿宋_GB2312"/>
                <w:color w:val="000000"/>
                <w:kern w:val="0"/>
              </w:rPr>
              <w:t>以上。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优良中低差</w:t>
            </w:r>
          </w:p>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tabs>
                <w:tab w:val="left" w:pos="560"/>
              </w:tabs>
              <w:spacing w:line="240" w:lineRule="exact"/>
              <w:jc w:val="center"/>
              <w:rPr>
                <w:rFonts w:ascii="仿宋_GB2312" w:hAnsi="??" w:eastAsia="仿宋_GB2312"/>
                <w:kern w:val="0"/>
              </w:rPr>
            </w:pPr>
            <w:r>
              <w:rPr>
                <w:rFonts w:hint="eastAsia" w:ascii="仿宋_GB2312" w:hAnsi="??" w:eastAsia="仿宋_GB2312" w:cs="仿宋_GB2312"/>
                <w:kern w:val="0"/>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21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：通过设施水肥一体化关键部件测试系统研发，开展设施水肥一体化设备关键性能测试，为企业和政府提供公益性的检测服务。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优良中低差</w:t>
            </w:r>
          </w:p>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8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w:t>
            </w:r>
            <w:r>
              <w:rPr>
                <w:rFonts w:hint="eastAsia" w:ascii="仿宋_GB2312" w:hAnsi="??" w:eastAsia="仿宋_GB2312" w:cs="仿宋_GB2312"/>
                <w:kern w:val="0"/>
                <w:lang w:eastAsia="zh-CN"/>
              </w:rPr>
              <w:t>指</w:t>
            </w:r>
            <w:bookmarkStart w:id="0" w:name="_GoBack"/>
            <w:bookmarkEnd w:id="0"/>
            <w:r>
              <w:rPr>
                <w:rFonts w:hint="eastAsia" w:ascii="仿宋_GB2312" w:hAnsi="??" w:eastAsia="仿宋_GB2312" w:cs="仿宋_GB2312"/>
                <w:kern w:val="0"/>
              </w:rPr>
              <w:t>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w:t>
            </w:r>
            <w:r>
              <w:rPr>
                <w:rFonts w:ascii="仿宋_GB2312" w:hAnsi="??" w:eastAsia="仿宋_GB2312" w:cs="仿宋_GB2312"/>
                <w:kern w:val="0"/>
              </w:rPr>
              <w:t>80%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6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96.4</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Cambria">
    <w:altName w:val="Noto Sans Syriac Eastern"/>
    <w:panose1 w:val="02040503050406030204"/>
    <w:charset w:val="00"/>
    <w:family w:val="roman"/>
    <w:pitch w:val="default"/>
    <w:sig w:usb0="00000000" w:usb1="00000000" w:usb2="00000000" w:usb3="00000000" w:csb0="0000019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
    <w:altName w:val="DejaVu Math TeX Gyre"/>
    <w:panose1 w:val="00000000000000000000"/>
    <w:charset w:val="00"/>
    <w:family w:val="auto"/>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 w:hAnsi="??" w:cs="??"/>
        <w:sz w:val="28"/>
        <w:szCs w:val="28"/>
      </w:rPr>
    </w:pPr>
    <w:r>
      <w:pict>
        <v:shape id="_x0000_s2049" o:spid="_x0000_s2049"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5"/>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oNotHyphenateCaps/>
  <w:drawingGridVerticalSpacing w:val="156"/>
  <w:noPunctuationKerning w:val="true"/>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F77F09F4"/>
    <w:rsid w:val="00212B3B"/>
    <w:rsid w:val="003518EE"/>
    <w:rsid w:val="004B3147"/>
    <w:rsid w:val="004C37F4"/>
    <w:rsid w:val="004F1C8F"/>
    <w:rsid w:val="00585140"/>
    <w:rsid w:val="006462FD"/>
    <w:rsid w:val="00692ACC"/>
    <w:rsid w:val="006E301C"/>
    <w:rsid w:val="00706593"/>
    <w:rsid w:val="007569DF"/>
    <w:rsid w:val="008F7B3D"/>
    <w:rsid w:val="00AF513F"/>
    <w:rsid w:val="00B615B8"/>
    <w:rsid w:val="00BC4D7D"/>
    <w:rsid w:val="00C6637B"/>
    <w:rsid w:val="00D65E5D"/>
    <w:rsid w:val="00D7349D"/>
    <w:rsid w:val="00E53254"/>
    <w:rsid w:val="00F67A40"/>
    <w:rsid w:val="0BFE0ABF"/>
    <w:rsid w:val="1FDE2691"/>
    <w:rsid w:val="33D662FD"/>
    <w:rsid w:val="37173543"/>
    <w:rsid w:val="37DB7508"/>
    <w:rsid w:val="37F334F9"/>
    <w:rsid w:val="3EFFD0F6"/>
    <w:rsid w:val="3FF76880"/>
    <w:rsid w:val="4BFE378B"/>
    <w:rsid w:val="56FEDEDE"/>
    <w:rsid w:val="5E6FB83E"/>
    <w:rsid w:val="65EBF0FD"/>
    <w:rsid w:val="6DEF074E"/>
    <w:rsid w:val="6DF13B46"/>
    <w:rsid w:val="77BF5577"/>
    <w:rsid w:val="77DB8B41"/>
    <w:rsid w:val="7AB7FF50"/>
    <w:rsid w:val="7AF9F9F8"/>
    <w:rsid w:val="7B79F43A"/>
    <w:rsid w:val="7BFEB0DB"/>
    <w:rsid w:val="7DFD9F01"/>
    <w:rsid w:val="7F7D65BA"/>
    <w:rsid w:val="7FEF48C6"/>
    <w:rsid w:val="89EFEBF4"/>
    <w:rsid w:val="A39FC947"/>
    <w:rsid w:val="AEAF197B"/>
    <w:rsid w:val="BEFDAA8F"/>
    <w:rsid w:val="BFB9CB83"/>
    <w:rsid w:val="CEFD3F3D"/>
    <w:rsid w:val="CFDE6ECA"/>
    <w:rsid w:val="DDFFD56D"/>
    <w:rsid w:val="E7B3C7EC"/>
    <w:rsid w:val="E7D8B17C"/>
    <w:rsid w:val="E9F7B193"/>
    <w:rsid w:val="EA3F77F2"/>
    <w:rsid w:val="EEFE5989"/>
    <w:rsid w:val="EF8F6623"/>
    <w:rsid w:val="EFCF3EAE"/>
    <w:rsid w:val="EFDA2AB2"/>
    <w:rsid w:val="F5B764A2"/>
    <w:rsid w:val="F777D1AC"/>
    <w:rsid w:val="F77F09F4"/>
    <w:rsid w:val="FDFC7B8D"/>
    <w:rsid w:val="FFB7252C"/>
    <w:rsid w:val="FFBBFE9D"/>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2"/>
    <w:basedOn w:val="1"/>
    <w:next w:val="1"/>
    <w:link w:val="9"/>
    <w:qFormat/>
    <w:uiPriority w:val="99"/>
    <w:pPr>
      <w:keepNext/>
      <w:keepLines/>
      <w:spacing w:before="260" w:after="260" w:line="413" w:lineRule="auto"/>
      <w:outlineLvl w:val="1"/>
    </w:pPr>
    <w:rPr>
      <w:rFonts w:ascii="Arial" w:hAnsi="Arial" w:eastAsia="黑体" w:cs="Arial"/>
      <w:b/>
      <w:bCs/>
      <w:sz w:val="32"/>
      <w:szCs w:val="32"/>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index heading"/>
    <w:basedOn w:val="1"/>
    <w:next w:val="3"/>
    <w:semiHidden/>
    <w:qFormat/>
    <w:uiPriority w:val="99"/>
    <w:rPr>
      <w:rFonts w:ascii="Cambria" w:hAnsi="Cambria" w:cs="Cambria"/>
      <w:b/>
      <w:bCs/>
    </w:rPr>
  </w:style>
  <w:style w:type="paragraph" w:styleId="3">
    <w:name w:val="index 1"/>
    <w:basedOn w:val="1"/>
    <w:next w:val="1"/>
    <w:semiHidden/>
    <w:qFormat/>
    <w:uiPriority w:val="99"/>
  </w:style>
  <w:style w:type="paragraph" w:styleId="5">
    <w:name w:val="footer"/>
    <w:basedOn w:val="1"/>
    <w:link w:val="10"/>
    <w:qFormat/>
    <w:uiPriority w:val="99"/>
    <w:pPr>
      <w:tabs>
        <w:tab w:val="center" w:pos="4153"/>
        <w:tab w:val="right" w:pos="8306"/>
      </w:tabs>
      <w:snapToGrid w:val="0"/>
      <w:jc w:val="left"/>
    </w:pPr>
    <w:rPr>
      <w:sz w:val="18"/>
      <w:szCs w:val="18"/>
    </w:rPr>
  </w:style>
  <w:style w:type="paragraph" w:styleId="6">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9">
    <w:name w:val="Heading 2 Char"/>
    <w:basedOn w:val="8"/>
    <w:link w:val="4"/>
    <w:semiHidden/>
    <w:qFormat/>
    <w:locked/>
    <w:uiPriority w:val="99"/>
    <w:rPr>
      <w:rFonts w:ascii="Cambria" w:hAnsi="Cambria" w:eastAsia="宋体" w:cs="Cambria"/>
      <w:b/>
      <w:bCs/>
      <w:sz w:val="32"/>
      <w:szCs w:val="32"/>
    </w:rPr>
  </w:style>
  <w:style w:type="character" w:customStyle="1" w:styleId="10">
    <w:name w:val="Footer Char"/>
    <w:basedOn w:val="8"/>
    <w:link w:val="5"/>
    <w:semiHidden/>
    <w:qFormat/>
    <w:locked/>
    <w:uiPriority w:val="99"/>
    <w:rPr>
      <w:rFonts w:ascii="Times New Roman" w:hAnsi="Times New Roman" w:cs="Times New Roman"/>
      <w:sz w:val="18"/>
      <w:szCs w:val="18"/>
    </w:rPr>
  </w:style>
  <w:style w:type="character" w:customStyle="1" w:styleId="11">
    <w:name w:val="Header Char"/>
    <w:basedOn w:val="8"/>
    <w:link w:val="6"/>
    <w:semiHidden/>
    <w:qFormat/>
    <w:locked/>
    <w:uiPriority w:val="99"/>
    <w:rPr>
      <w:rFonts w:ascii="Times New Roman" w:hAnsi="Times New Roman" w:cs="Times New Roman"/>
      <w:sz w:val="18"/>
      <w:szCs w:val="18"/>
    </w:rPr>
  </w:style>
  <w:style w:type="paragraph" w:customStyle="1" w:styleId="12">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246</Words>
  <Characters>1405</Characters>
  <Lines>0</Lines>
  <Paragraphs>0</Paragraphs>
  <TotalTime>13</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2022-03-11T11:16:00Z</dcterms:created>
  <dc:creator>user</dc:creator>
  <cp:lastModifiedBy>nyncj</cp:lastModifiedBy>
  <cp:lastPrinted>2022-03-25T18:01:00Z</cp:lastPrinted>
  <dcterms:modified xsi:type="dcterms:W3CDTF">2023-06-06T11:19:17Z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