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方正黑体_GBK" w:hAnsi="方正黑体_GBK" w:eastAsia="方正黑体_GBK"/>
          <w:sz w:val="32"/>
          <w:szCs w:val="32"/>
        </w:rPr>
      </w:pPr>
      <w:r>
        <w:rPr>
          <w:rFonts w:hint="eastAsia" w:ascii="方正黑体_GBK" w:hAnsi="方正黑体_GBK" w:eastAsia="方正黑体_GBK" w:cs="方正黑体_GBK"/>
          <w:sz w:val="32"/>
          <w:szCs w:val="32"/>
        </w:rPr>
        <w:t>附件</w:t>
      </w:r>
      <w:r>
        <w:rPr>
          <w:rFonts w:ascii="方正黑体_GBK" w:hAnsi="方正黑体_GBK" w:eastAsia="方正黑体_GBK" w:cs="方正黑体_GBK"/>
          <w:sz w:val="32"/>
          <w:szCs w:val="32"/>
        </w:rPr>
        <w:t>2</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cs="方正小标宋简体"/>
          <w:sz w:val="36"/>
          <w:szCs w:val="36"/>
        </w:rPr>
        <w:t>项目支出绩效自评表</w:t>
      </w:r>
    </w:p>
    <w:p>
      <w:pPr>
        <w:spacing w:line="480" w:lineRule="exact"/>
        <w:rPr>
          <w:rFonts w:ascii="仿宋_GB2312" w:hAnsi="??" w:eastAsia="仿宋_GB2312"/>
          <w:sz w:val="28"/>
          <w:szCs w:val="28"/>
        </w:rPr>
      </w:pPr>
      <w:r>
        <w:rPr>
          <w:rFonts w:ascii="仿宋_GB2312" w:eastAsia="仿宋_GB2312" w:cs="仿宋_GB2312"/>
          <w:sz w:val="28"/>
          <w:szCs w:val="28"/>
        </w:rPr>
        <w:t xml:space="preserve">                     </w:t>
      </w:r>
      <w:r>
        <w:rPr>
          <w:rFonts w:ascii="仿宋_GB2312" w:hAnsi="??" w:eastAsia="仿宋_GB2312" w:cs="仿宋_GB2312"/>
          <w:sz w:val="28"/>
          <w:szCs w:val="28"/>
        </w:rPr>
        <w:t xml:space="preserve">    </w:t>
      </w:r>
      <w:r>
        <w:rPr>
          <w:rFonts w:hint="eastAsia" w:ascii="仿宋_GB2312" w:hAnsi="??" w:eastAsia="仿宋_GB2312" w:cs="仿宋_GB2312"/>
          <w:sz w:val="28"/>
          <w:szCs w:val="28"/>
        </w:rPr>
        <w:t>（</w:t>
      </w:r>
      <w:r>
        <w:rPr>
          <w:rFonts w:hint="eastAsia" w:ascii="仿宋_GB2312" w:hAnsi="??" w:eastAsia="仿宋_GB2312" w:cs="仿宋_GB2312"/>
          <w:sz w:val="28"/>
          <w:szCs w:val="28"/>
          <w:lang w:val="en-US" w:eastAsia="zh-CN"/>
        </w:rPr>
        <w:t>2022</w:t>
      </w:r>
      <w:r>
        <w:rPr>
          <w:rFonts w:hint="eastAsia" w:ascii="仿宋_GB2312" w:hAnsi="??" w:eastAsia="仿宋_GB2312" w:cs="仿宋_GB2312"/>
          <w:sz w:val="28"/>
          <w:szCs w:val="28"/>
        </w:rPr>
        <w:t>年度）</w:t>
      </w:r>
    </w:p>
    <w:p>
      <w:pPr>
        <w:spacing w:line="240" w:lineRule="exact"/>
        <w:rPr>
          <w:rFonts w:ascii="仿宋_GB2312" w:hAnsi="??" w:eastAsia="仿宋_GB2312"/>
          <w:sz w:val="30"/>
          <w:szCs w:val="30"/>
        </w:rPr>
      </w:pPr>
    </w:p>
    <w:tbl>
      <w:tblPr>
        <w:tblStyle w:val="6"/>
        <w:tblW w:w="10155"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476"/>
        <w:gridCol w:w="370"/>
        <w:gridCol w:w="1827"/>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项目名称</w:t>
            </w:r>
          </w:p>
        </w:tc>
        <w:tc>
          <w:tcPr>
            <w:tcW w:w="8595"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农田生态环境治理技术支撑服务</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北京市农业农村局</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实施单位</w:t>
            </w:r>
          </w:p>
        </w:tc>
        <w:tc>
          <w:tcPr>
            <w:tcW w:w="337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rPr>
              <w:t>北京市农业技术推广站</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张敬锁</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联系电话</w:t>
            </w:r>
          </w:p>
        </w:tc>
        <w:tc>
          <w:tcPr>
            <w:tcW w:w="3377"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84637427</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项目资金</w:t>
            </w:r>
            <w:r>
              <w:rPr>
                <w:rFonts w:ascii="仿宋_GB2312" w:hAnsi="??" w:eastAsia="仿宋_GB2312"/>
                <w:kern w:val="0"/>
              </w:rPr>
              <w:br w:type="textWrapping"/>
            </w:r>
            <w:r>
              <w:rPr>
                <w:rFonts w:hint="eastAsia" w:ascii="仿宋_GB2312" w:hAnsi="??" w:eastAsia="仿宋_GB2312" w:cs="仿宋_GB2312"/>
                <w:kern w:val="0"/>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年初预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全年预</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全年</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执行率</w:t>
            </w:r>
          </w:p>
        </w:tc>
        <w:tc>
          <w:tcPr>
            <w:tcW w:w="18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 w:eastAsia="仿宋_GB2312"/>
                <w:kern w:val="0"/>
              </w:rPr>
            </w:pPr>
            <w:r>
              <w:rPr>
                <w:rFonts w:hint="eastAsia" w:ascii="仿宋_GB2312" w:hAnsi="??" w:eastAsia="仿宋_GB2312" w:cs="仿宋_GB2312"/>
                <w:kern w:val="0"/>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135.994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133.0482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131.5441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ascii="仿宋_GB2312" w:hAnsi="??" w:eastAsia="仿宋_GB2312" w:cs="仿宋_GB2312"/>
                <w:kern w:val="0"/>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cs="仿宋_GB2312"/>
                <w:kern w:val="0"/>
              </w:rPr>
            </w:pPr>
            <w:r>
              <w:rPr>
                <w:rFonts w:hint="eastAsia" w:ascii="仿宋_GB2312" w:hAnsi="??" w:eastAsia="仿宋_GB2312"/>
                <w:kern w:val="0"/>
                <w:lang w:val="en-US" w:eastAsia="zh-CN"/>
              </w:rPr>
              <w:t>98.87%</w:t>
            </w:r>
          </w:p>
        </w:tc>
        <w:tc>
          <w:tcPr>
            <w:tcW w:w="18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9.9</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其中：当年财政</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135.994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133.0482</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131.5441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98.87%</w:t>
            </w:r>
          </w:p>
        </w:tc>
        <w:tc>
          <w:tcPr>
            <w:tcW w:w="18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8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仿宋_GB2312"/>
                <w:kern w:val="0"/>
              </w:rPr>
              <w:t xml:space="preserve">  </w:t>
            </w:r>
            <w:r>
              <w:rPr>
                <w:rFonts w:hint="eastAsia" w:ascii="仿宋_GB2312" w:hAnsi="??" w:eastAsia="仿宋_GB2312" w:cs="仿宋_GB2312"/>
                <w:kern w:val="0"/>
              </w:rPr>
              <w:t>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0</w:t>
            </w:r>
          </w:p>
        </w:tc>
        <w:tc>
          <w:tcPr>
            <w:tcW w:w="18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ascii="仿宋_GB2312" w:hAnsi="??" w:eastAsia="仿宋_GB2312" w:cs="??"/>
                <w:kern w:val="0"/>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预期目标</w:t>
            </w:r>
          </w:p>
        </w:tc>
        <w:tc>
          <w:tcPr>
            <w:tcW w:w="4504"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实际完成情况</w:t>
            </w:r>
          </w:p>
        </w:tc>
      </w:tr>
      <w:tr>
        <w:tblPrEx>
          <w:tblLayout w:type="fixed"/>
          <w:tblCellMar>
            <w:top w:w="0" w:type="dxa"/>
            <w:left w:w="108" w:type="dxa"/>
            <w:bottom w:w="0" w:type="dxa"/>
            <w:right w:w="108" w:type="dxa"/>
          </w:tblCellMar>
        </w:tblPrEx>
        <w:trPr>
          <w:trHeight w:val="2639"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5066" w:type="dxa"/>
            <w:gridSpan w:val="6"/>
            <w:tcBorders>
              <w:top w:val="single" w:color="auto" w:sz="4" w:space="0"/>
              <w:left w:val="nil"/>
              <w:bottom w:val="single" w:color="auto" w:sz="4" w:space="0"/>
              <w:right w:val="single" w:color="auto" w:sz="4" w:space="0"/>
            </w:tcBorders>
            <w:vAlign w:val="center"/>
          </w:tcPr>
          <w:p>
            <w:pPr>
              <w:widowControl/>
              <w:numPr>
                <w:ilvl w:val="0"/>
                <w:numId w:val="0"/>
              </w:numPr>
              <w:spacing w:line="240" w:lineRule="exact"/>
              <w:jc w:val="both"/>
              <w:rPr>
                <w:rFonts w:hint="default" w:ascii="宋体" w:hAnsi="宋体" w:eastAsia="宋体" w:cs="宋体"/>
                <w:i w:val="0"/>
                <w:iCs w:val="0"/>
                <w:color w:val="000000"/>
                <w:kern w:val="0"/>
                <w:sz w:val="20"/>
                <w:szCs w:val="20"/>
                <w:u w:val="none"/>
                <w:lang w:val="en-US" w:eastAsia="zh-CN" w:bidi="ar"/>
              </w:rPr>
            </w:pPr>
            <w:r>
              <w:rPr>
                <w:rFonts w:hint="default" w:ascii="宋体" w:hAnsi="宋体" w:eastAsia="宋体" w:cs="宋体"/>
                <w:i w:val="0"/>
                <w:iCs w:val="0"/>
                <w:color w:val="000000"/>
                <w:kern w:val="0"/>
                <w:sz w:val="20"/>
                <w:szCs w:val="20"/>
                <w:u w:val="none"/>
                <w:lang w:val="en-US" w:eastAsia="zh-CN" w:bidi="ar"/>
              </w:rPr>
              <w:t>1、农用塑料：协助农业农村局指导13个涉农区推进废旧地膜回收处置工作；完成全生物降解地膜在粮经、蔬菜和瓜类作物的试验示范，形成技术要点；探索可降解育苗容器的应用效果。2、节水：建立北京市种植业节水监测点60个；全年开展农业用水监测10次以上；形成2022年北京市种植业用水报告1份；60个种植业用水和节水监测点年均亩节水40方以上。3、化肥减量：开展施肥调查400个，开展玉米、小麦化肥利用率试验20个，示范推广粮食作物缓释肥一次性施肥技术和蔬菜作物水肥一体精准施肥技术各500亩，亩均节肥2公斤；发布全市主要农作物施肥指导意见。</w:t>
            </w:r>
          </w:p>
        </w:tc>
        <w:tc>
          <w:tcPr>
            <w:tcW w:w="4504" w:type="dxa"/>
            <w:gridSpan w:val="7"/>
            <w:tcBorders>
              <w:top w:val="single" w:color="auto" w:sz="4" w:space="0"/>
              <w:left w:val="nil"/>
              <w:bottom w:val="single" w:color="auto" w:sz="4" w:space="0"/>
              <w:right w:val="single" w:color="auto" w:sz="4" w:space="0"/>
            </w:tcBorders>
            <w:vAlign w:val="center"/>
          </w:tcPr>
          <w:p>
            <w:pPr>
              <w:widowControl/>
              <w:numPr>
                <w:ilvl w:val="0"/>
                <w:numId w:val="0"/>
              </w:numPr>
              <w:spacing w:line="240" w:lineRule="exact"/>
              <w:jc w:val="both"/>
              <w:rPr>
                <w:rFonts w:hint="default" w:ascii="宋体" w:hAnsi="宋体" w:eastAsia="宋体" w:cs="宋体"/>
                <w:i w:val="0"/>
                <w:iCs w:val="0"/>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1、农用塑料：</w:t>
            </w:r>
            <w:r>
              <w:rPr>
                <w:rFonts w:hint="default" w:ascii="宋体" w:hAnsi="宋体" w:eastAsia="宋体" w:cs="宋体"/>
                <w:i w:val="0"/>
                <w:iCs w:val="0"/>
                <w:color w:val="000000"/>
                <w:kern w:val="0"/>
                <w:sz w:val="20"/>
                <w:szCs w:val="20"/>
                <w:u w:val="none"/>
                <w:lang w:val="en-US" w:eastAsia="zh-CN" w:bidi="ar"/>
              </w:rPr>
              <w:t>协助农业农村局指导13个涉农区推进废旧地膜回收处置工作</w:t>
            </w:r>
            <w:r>
              <w:rPr>
                <w:rFonts w:hint="eastAsia" w:ascii="宋体" w:hAnsi="宋体" w:cs="宋体"/>
                <w:i w:val="0"/>
                <w:iCs w:val="0"/>
                <w:color w:val="000000"/>
                <w:kern w:val="0"/>
                <w:sz w:val="20"/>
                <w:szCs w:val="20"/>
                <w:u w:val="none"/>
                <w:lang w:val="en-US" w:eastAsia="zh-CN" w:bidi="ar"/>
              </w:rPr>
              <w:t>，印发市级方案1份；完成全生物降解地膜在鲜食玉米、番茄、西瓜等作物上的试验示范，形成技术要点2份；筛选出适宜的可降解育苗容器2种。2、节水：建立北京市种植业节水监测点60个；全年开展农业用水监测12次以上；形成2022年北京市种植业用水报告1份；60个种植业用水和节水监测点年均亩节水46方以上。3、化肥减量：</w:t>
            </w:r>
            <w:r>
              <w:rPr>
                <w:rFonts w:hint="eastAsia" w:ascii="宋体" w:hAnsi="宋体" w:eastAsia="宋体" w:cs="宋体"/>
                <w:i w:val="0"/>
                <w:iCs w:val="0"/>
                <w:color w:val="000000"/>
                <w:kern w:val="0"/>
                <w:sz w:val="20"/>
                <w:szCs w:val="20"/>
                <w:u w:val="none"/>
                <w:lang w:val="en-US" w:eastAsia="zh-CN" w:bidi="ar"/>
              </w:rPr>
              <w:t>布置419个施肥调查点</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科学施肥示范推广面积1000亩</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发布全市主要农作物科学施肥指导意见1期</w:t>
            </w:r>
            <w:r>
              <w:rPr>
                <w:rFonts w:hint="eastAsia" w:ascii="宋体" w:hAnsi="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形成施肥调查报告1份；</w:t>
            </w:r>
          </w:p>
          <w:p>
            <w:pPr>
              <w:widowControl/>
              <w:numPr>
                <w:ilvl w:val="0"/>
                <w:numId w:val="0"/>
              </w:numPr>
              <w:spacing w:line="240" w:lineRule="exact"/>
              <w:jc w:val="both"/>
              <w:rPr>
                <w:rFonts w:ascii="仿宋_GB2312" w:hAnsi="??" w:eastAsia="仿宋_GB2312"/>
                <w:kern w:val="0"/>
              </w:rPr>
            </w:pPr>
            <w:r>
              <w:rPr>
                <w:rFonts w:hint="eastAsia" w:ascii="宋体" w:hAnsi="宋体" w:eastAsia="宋体" w:cs="宋体"/>
                <w:i w:val="0"/>
                <w:iCs w:val="0"/>
                <w:color w:val="000000"/>
                <w:kern w:val="0"/>
                <w:sz w:val="20"/>
                <w:szCs w:val="20"/>
                <w:u w:val="none"/>
                <w:lang w:val="en-US" w:eastAsia="zh-CN" w:bidi="ar"/>
              </w:rPr>
              <w:t>施肥示范区亩均节肥（养分纯量）6.4公斤</w:t>
            </w:r>
            <w:r>
              <w:rPr>
                <w:rFonts w:hint="eastAsia" w:ascii="宋体" w:hAnsi="宋体" w:cs="宋体"/>
                <w:i w:val="0"/>
                <w:iCs w:val="0"/>
                <w:color w:val="000000"/>
                <w:kern w:val="0"/>
                <w:sz w:val="20"/>
                <w:szCs w:val="20"/>
                <w:u w:val="none"/>
                <w:lang w:val="en-US" w:eastAsia="zh-CN" w:bidi="ar"/>
              </w:rPr>
              <w:t>。</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绩</w:t>
            </w:r>
            <w:r>
              <w:rPr>
                <w:rFonts w:ascii="仿宋_GB2312" w:hAnsi="??" w:eastAsia="仿宋_GB2312"/>
                <w:kern w:val="0"/>
              </w:rPr>
              <w:br w:type="textWrapping"/>
            </w:r>
            <w:r>
              <w:rPr>
                <w:rFonts w:hint="eastAsia" w:ascii="仿宋_GB2312" w:hAnsi="??" w:eastAsia="仿宋_GB2312" w:cs="仿宋_GB2312"/>
                <w:kern w:val="0"/>
              </w:rPr>
              <w:t>效</w:t>
            </w:r>
            <w:r>
              <w:rPr>
                <w:rFonts w:ascii="仿宋_GB2312" w:hAnsi="??" w:eastAsia="仿宋_GB2312"/>
                <w:kern w:val="0"/>
              </w:rPr>
              <w:br w:type="textWrapping"/>
            </w:r>
            <w:r>
              <w:rPr>
                <w:rFonts w:hint="eastAsia" w:ascii="仿宋_GB2312" w:hAnsi="??" w:eastAsia="仿宋_GB2312" w:cs="仿宋_GB2312"/>
                <w:kern w:val="0"/>
              </w:rPr>
              <w:t>指</w:t>
            </w:r>
            <w:r>
              <w:rPr>
                <w:rFonts w:ascii="仿宋_GB2312" w:hAnsi="??" w:eastAsia="仿宋_GB2312"/>
                <w:kern w:val="0"/>
              </w:rPr>
              <w:br w:type="textWrapping"/>
            </w:r>
            <w:r>
              <w:rPr>
                <w:rFonts w:hint="eastAsia" w:ascii="仿宋_GB2312" w:hAnsi="??" w:eastAsia="仿宋_GB2312" w:cs="仿宋_GB2312"/>
                <w:kern w:val="0"/>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年度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实际</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分值</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得分</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偏差原因分析及改进</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措施</w:t>
            </w: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restart"/>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产出指标</w:t>
            </w:r>
          </w:p>
        </w:tc>
        <w:tc>
          <w:tcPr>
            <w:tcW w:w="1105" w:type="dxa"/>
            <w:vMerge w:val="restart"/>
            <w:tcBorders>
              <w:top w:val="single" w:color="auto" w:sz="4" w:space="0"/>
              <w:left w:val="nil"/>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kern w:val="0"/>
              </w:rPr>
            </w:pPr>
            <w:r>
              <w:rPr>
                <w:rFonts w:hint="eastAsia" w:ascii="仿宋_GB2312" w:hAnsi="??" w:eastAsia="仿宋_GB2312" w:cs="仿宋_GB2312"/>
                <w:color w:val="000000"/>
                <w:kern w:val="0"/>
              </w:rPr>
              <w:t>指标</w:t>
            </w:r>
            <w:r>
              <w:rPr>
                <w:rFonts w:hint="eastAsia" w:ascii="仿宋_GB2312" w:hAnsi="??" w:eastAsia="仿宋_GB2312" w:cs="仿宋_GB2312"/>
                <w:color w:val="000000"/>
                <w:kern w:val="0"/>
                <w:lang w:val="en-US" w:eastAsia="zh-CN"/>
              </w:rPr>
              <w:t>1</w:t>
            </w:r>
            <w:r>
              <w:rPr>
                <w:rFonts w:hint="eastAsia" w:ascii="仿宋_GB2312" w:hAnsi="??" w:eastAsia="仿宋_GB2312" w:cs="仿宋_GB2312"/>
                <w:color w:val="000000"/>
                <w:kern w:val="0"/>
              </w:rPr>
              <w:t>：科学施肥示范推广面积</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kern w:val="0"/>
                <w:lang w:val="en-US" w:eastAsia="zh-CN"/>
              </w:rPr>
              <w:t>1000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r>
              <w:rPr>
                <w:rFonts w:hint="eastAsia" w:ascii="仿宋_GB2312" w:hAnsi="??" w:eastAsia="仿宋_GB2312"/>
                <w:kern w:val="0"/>
                <w:lang w:val="en-US" w:eastAsia="zh-CN"/>
              </w:rPr>
              <w:t>1000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left"/>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指标2：</w:t>
            </w:r>
            <w:r>
              <w:rPr>
                <w:rFonts w:hint="eastAsia" w:ascii="仿宋_GB2312" w:hAnsi="??" w:eastAsia="仿宋_GB2312" w:cs="仿宋_GB2312"/>
                <w:kern w:val="0"/>
                <w:lang w:eastAsia="zh-CN"/>
              </w:rPr>
              <w:t>北京市种植业节水监测点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60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60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left"/>
              <w:rPr>
                <w:rFonts w:hint="eastAsia" w:ascii="仿宋_GB2312" w:hAnsi="??" w:eastAsia="仿宋_GB2312" w:cs="仿宋_GB2312"/>
                <w:kern w:val="0"/>
                <w:lang w:eastAsia="zh-CN"/>
              </w:rPr>
            </w:pPr>
            <w:r>
              <w:rPr>
                <w:rFonts w:hint="eastAsia" w:ascii="仿宋_GB2312" w:hAnsi="??" w:eastAsia="仿宋_GB2312" w:cs="仿宋_GB2312"/>
                <w:kern w:val="0"/>
                <w:lang w:val="en-US" w:eastAsia="zh-CN"/>
              </w:rPr>
              <w:t>指标3：</w:t>
            </w:r>
            <w:r>
              <w:rPr>
                <w:rFonts w:hint="eastAsia" w:ascii="仿宋_GB2312" w:hAnsi="??" w:eastAsia="仿宋_GB2312" w:cs="仿宋_GB2312"/>
                <w:kern w:val="0"/>
                <w:lang w:eastAsia="zh-CN"/>
              </w:rPr>
              <w:t>完成可降解产品应用评价总结</w:t>
            </w:r>
          </w:p>
        </w:tc>
        <w:tc>
          <w:tcPr>
            <w:tcW w:w="849" w:type="dxa"/>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2</w:t>
            </w:r>
          </w:p>
        </w:tc>
        <w:tc>
          <w:tcPr>
            <w:tcW w:w="848" w:type="dxa"/>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2</w:t>
            </w:r>
          </w:p>
        </w:tc>
        <w:tc>
          <w:tcPr>
            <w:tcW w:w="563"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left"/>
              <w:rPr>
                <w:rFonts w:hint="eastAsia" w:ascii="仿宋_GB2312" w:hAnsi="??" w:eastAsia="仿宋_GB2312" w:cs="仿宋_GB2312"/>
                <w:kern w:val="0"/>
                <w:lang w:eastAsia="zh-CN"/>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kern w:val="0"/>
                <w:lang w:val="en-US" w:eastAsia="zh-CN"/>
              </w:rPr>
            </w:pPr>
            <w:r>
              <w:rPr>
                <w:rFonts w:hint="eastAsia" w:ascii="仿宋_GB2312" w:hAnsi="??" w:eastAsia="仿宋_GB2312" w:cs="仿宋_GB2312"/>
                <w:color w:val="000000"/>
                <w:kern w:val="0"/>
              </w:rPr>
              <w:t>指标</w:t>
            </w:r>
            <w:r>
              <w:rPr>
                <w:rFonts w:hint="eastAsia" w:ascii="仿宋_GB2312" w:hAnsi="??" w:eastAsia="仿宋_GB2312" w:cs="仿宋_GB2312"/>
                <w:color w:val="000000"/>
                <w:kern w:val="0"/>
                <w:lang w:val="en-US" w:eastAsia="zh-CN"/>
              </w:rPr>
              <w:t>4：</w:t>
            </w:r>
            <w:r>
              <w:rPr>
                <w:rFonts w:hint="eastAsia" w:ascii="仿宋_GB2312" w:hAnsi="??" w:eastAsia="仿宋_GB2312" w:cs="仿宋_GB2312"/>
                <w:color w:val="000000"/>
                <w:kern w:val="0"/>
              </w:rPr>
              <w:t>主要农作物施肥指导意见</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tabs>
                <w:tab w:val="left" w:pos="506"/>
              </w:tabs>
              <w:spacing w:line="240" w:lineRule="exact"/>
              <w:jc w:val="left"/>
              <w:rPr>
                <w:rFonts w:hint="eastAsia" w:ascii="仿宋_GB2312" w:hAnsi="??" w:eastAsia="仿宋_GB2312" w:cs="仿宋_GB2312"/>
                <w:kern w:val="0"/>
                <w:lang w:eastAsia="zh-CN"/>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lang w:val="en-US" w:eastAsia="zh-CN"/>
              </w:rPr>
            </w:pPr>
            <w:r>
              <w:rPr>
                <w:rFonts w:hint="eastAsia" w:ascii="仿宋_GB2312" w:hAnsi="??" w:eastAsia="仿宋_GB2312" w:cs="仿宋_GB2312"/>
                <w:color w:val="000000"/>
                <w:kern w:val="0"/>
              </w:rPr>
              <w:t>指标</w:t>
            </w:r>
            <w:r>
              <w:rPr>
                <w:rFonts w:hint="eastAsia" w:ascii="仿宋_GB2312" w:hAnsi="??" w:eastAsia="仿宋_GB2312" w:cs="仿宋_GB2312"/>
                <w:color w:val="000000"/>
                <w:kern w:val="0"/>
                <w:lang w:val="en-US" w:eastAsia="zh-CN"/>
              </w:rPr>
              <w:t>5：</w:t>
            </w:r>
            <w:r>
              <w:rPr>
                <w:rFonts w:hint="eastAsia" w:ascii="仿宋_GB2312" w:hAnsi="??" w:eastAsia="仿宋_GB2312" w:cs="仿宋_GB2312"/>
                <w:color w:val="000000"/>
                <w:kern w:val="0"/>
                <w:sz w:val="20"/>
                <w:szCs w:val="20"/>
                <w:lang w:val="en-US" w:eastAsia="zh-CN"/>
              </w:rPr>
              <w:t>施肥调查报告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color w:val="000000"/>
                <w:kern w:val="0"/>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指标6：地膜残留监测点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30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30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指标7：2022年北京市种植业用水报告</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830" w:hRule="exact"/>
          <w:jc w:val="center"/>
        </w:trPr>
        <w:tc>
          <w:tcPr>
            <w:tcW w:w="58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hint="eastAsia" w:ascii="仿宋_GB2312" w:hAnsi="??" w:eastAsia="仿宋_GB2312" w:cs="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指标8：开展农业用水监测</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12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kern w:val="0"/>
                <w:lang w:val="en-US" w:eastAsia="zh-CN"/>
              </w:rPr>
            </w:pPr>
            <w:r>
              <w:rPr>
                <w:rFonts w:hint="eastAsia" w:ascii="仿宋_GB2312" w:hAnsi="??" w:eastAsia="仿宋_GB2312" w:cs="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仿宋_GB2312"/>
                <w:kern w:val="0"/>
              </w:rPr>
            </w:pPr>
          </w:p>
        </w:tc>
      </w:tr>
      <w:tr>
        <w:tblPrEx>
          <w:tblLayout w:type="fixed"/>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hint="eastAsia" w:ascii="仿宋_GB2312" w:hAnsi="??" w:eastAsia="仿宋_GB2312" w:cs="仿宋_GB2312"/>
                <w:color w:val="000000"/>
                <w:kern w:val="0"/>
                <w:lang w:val="en-US" w:eastAsia="zh-CN"/>
              </w:rPr>
              <w:t>9</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施肥调查点</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419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4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olor w:val="000000"/>
                <w:kern w:val="0"/>
                <w:lang w:val="en-US" w:eastAsia="zh-CN"/>
              </w:rPr>
              <w:t>指标10：</w:t>
            </w:r>
            <w:r>
              <w:rPr>
                <w:rFonts w:hint="eastAsia" w:ascii="仿宋_GB2312" w:hAnsi="??" w:eastAsia="仿宋_GB2312"/>
                <w:color w:val="000000"/>
                <w:kern w:val="0"/>
              </w:rPr>
              <w:t>全生物降解地膜示范应用</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600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：报告提交率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监测点覆盖率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78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：2022年12月31日前项目完成及时率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cs="Times New Roman"/>
                <w:kern w:val="0"/>
                <w:sz w:val="21"/>
                <w:szCs w:val="21"/>
                <w:lang w:val="en-US" w:eastAsia="zh-CN" w:bidi="ar-SA"/>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left w:val="nil"/>
              <w:right w:val="single" w:color="auto" w:sz="4" w:space="0"/>
            </w:tcBorders>
            <w:vAlign w:val="center"/>
          </w:tcPr>
          <w:p>
            <w:pPr>
              <w:widowControl/>
              <w:spacing w:line="240" w:lineRule="exact"/>
              <w:jc w:val="center"/>
              <w:rPr>
                <w:rFonts w:ascii="仿宋_GB2312" w:hAnsi="??" w:eastAsia="仿宋_GB2312"/>
                <w:kern w:val="0"/>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w:t>
            </w:r>
            <w:r>
              <w:rPr>
                <w:rFonts w:hint="eastAsia" w:ascii="仿宋_GB2312" w:hAnsi="??" w:eastAsia="仿宋_GB2312" w:cs="仿宋_GB2312"/>
                <w:color w:val="000000"/>
                <w:kern w:val="0"/>
                <w:lang w:val="en-US" w:eastAsia="zh-CN"/>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135.994</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135.994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57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生态效益</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hint="eastAsia" w:ascii="仿宋_GB2312" w:hAnsi="??" w:eastAsia="仿宋_GB2312" w:cs="仿宋_GB2312"/>
                <w:color w:val="000000"/>
                <w:kern w:val="0"/>
                <w:lang w:val="en-US" w:eastAsia="zh-CN"/>
              </w:rPr>
              <w:t>1：</w:t>
            </w:r>
            <w:r>
              <w:rPr>
                <w:rFonts w:hint="eastAsia" w:ascii="仿宋_GB2312" w:hAnsi="??" w:eastAsia="仿宋_GB2312" w:cs="仿宋_GB2312"/>
                <w:color w:val="000000"/>
                <w:kern w:val="0"/>
              </w:rPr>
              <w:t>科学施肥示范区亩节肥</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2</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6.4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color w:val="000000"/>
                <w:kern w:val="0"/>
                <w:lang w:val="en-US" w:eastAsia="zh-CN"/>
              </w:rPr>
              <w:t>4</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5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2</w:t>
            </w:r>
            <w:r>
              <w:rPr>
                <w:rFonts w:hint="eastAsia" w:ascii="仿宋_GB2312" w:hAnsi="??" w:eastAsia="仿宋_GB2312" w:cs="仿宋_GB2312"/>
                <w:color w:val="000000"/>
                <w:kern w:val="0"/>
              </w:rPr>
              <w:t>：生物降解膜示范区亩减少PE地膜</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6</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8.5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7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 w:eastAsia="仿宋_GB2312"/>
                <w:color w:val="000000"/>
                <w:kern w:val="0"/>
                <w:lang w:val="en-US" w:eastAsia="zh-CN"/>
              </w:rPr>
            </w:pPr>
            <w:r>
              <w:rPr>
                <w:rFonts w:hint="eastAsia" w:ascii="仿宋_GB2312" w:hAnsi="??" w:eastAsia="仿宋_GB2312"/>
                <w:color w:val="000000"/>
                <w:kern w:val="0"/>
                <w:lang w:val="en-US" w:eastAsia="zh-CN"/>
              </w:rPr>
              <w:t>指标3：60个种植业用水和节水监测点亩节水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46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57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满意度</w:t>
            </w:r>
          </w:p>
          <w:p>
            <w:pPr>
              <w:widowControl/>
              <w:spacing w:line="240" w:lineRule="exact"/>
              <w:jc w:val="center"/>
              <w:rPr>
                <w:rFonts w:ascii="仿宋_GB2312" w:hAnsi="??" w:eastAsia="仿宋_GB2312"/>
                <w:kern w:val="0"/>
              </w:rPr>
            </w:pPr>
            <w:r>
              <w:rPr>
                <w:rFonts w:hint="eastAsia" w:ascii="仿宋_GB2312" w:hAnsi="??" w:eastAsia="仿宋_GB2312" w:cs="仿宋_GB2312"/>
                <w:kern w:val="0"/>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kern w:val="0"/>
              </w:rPr>
            </w:pPr>
            <w:r>
              <w:rPr>
                <w:rFonts w:hint="eastAsia" w:ascii="仿宋_GB2312" w:hAnsi="??" w:eastAsia="仿宋_GB2312" w:cs="仿宋_GB2312"/>
                <w:kern w:val="0"/>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 w:eastAsia="仿宋_GB2312"/>
                <w:color w:val="000000"/>
                <w:kern w:val="0"/>
              </w:rPr>
            </w:pPr>
            <w:r>
              <w:rPr>
                <w:rFonts w:hint="eastAsia" w:ascii="仿宋_GB2312" w:hAnsi="??" w:eastAsia="仿宋_GB2312" w:cs="仿宋_GB2312"/>
                <w:color w:val="000000"/>
                <w:kern w:val="0"/>
              </w:rPr>
              <w:t>指标</w:t>
            </w:r>
            <w:r>
              <w:rPr>
                <w:rFonts w:ascii="仿宋_GB2312" w:hAnsi="??" w:eastAsia="仿宋_GB2312" w:cs="仿宋_GB2312"/>
                <w:color w:val="000000"/>
                <w:kern w:val="0"/>
              </w:rPr>
              <w:t>1</w:t>
            </w:r>
            <w:r>
              <w:rPr>
                <w:rFonts w:hint="eastAsia" w:ascii="仿宋_GB2312" w:hAnsi="??" w:eastAsia="仿宋_GB2312" w:cs="仿宋_GB2312"/>
                <w:color w:val="000000"/>
                <w:kern w:val="0"/>
              </w:rPr>
              <w:t>：农户满意度</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92.9%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 w:eastAsia="仿宋_GB2312"/>
                <w:kern w:val="0"/>
                <w:lang w:val="en-US" w:eastAsia="zh-CN"/>
              </w:rPr>
            </w:pPr>
            <w:r>
              <w:rPr>
                <w:rFonts w:hint="eastAsia" w:ascii="仿宋_GB2312" w:hAnsi="??" w:eastAsia="仿宋_GB2312"/>
                <w:kern w:val="0"/>
                <w:lang w:val="en-US" w:eastAsia="zh-CN"/>
              </w:rPr>
              <w:t>5</w:t>
            </w: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kern w:val="0"/>
                <w:lang w:val="en-US" w:eastAsia="zh-CN"/>
              </w:rPr>
            </w:pPr>
            <w:r>
              <w:rPr>
                <w:rFonts w:hint="eastAsia" w:ascii="仿宋_GB2312" w:hAnsi="??" w:eastAsia="仿宋_GB2312"/>
                <w:kern w:val="0"/>
                <w:lang w:val="en-US" w:eastAsia="zh-CN"/>
              </w:rPr>
              <w:t>5</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r>
        <w:tblPrEx>
          <w:tblLayout w:type="fixed"/>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 w:eastAsia="仿宋_GB2312"/>
                <w:color w:val="000000"/>
                <w:kern w:val="0"/>
              </w:rPr>
            </w:pPr>
            <w:r>
              <w:rPr>
                <w:rFonts w:hint="eastAsia" w:ascii="仿宋_GB2312" w:hAnsi="??" w:eastAsia="仿宋_GB2312" w:cs="仿宋_GB2312"/>
                <w:color w:val="000000"/>
                <w:kern w:val="0"/>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p>
        </w:tc>
        <w:tc>
          <w:tcPr>
            <w:tcW w:w="89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 w:eastAsia="仿宋_GB2312" w:cs="仿宋_GB2312"/>
                <w:color w:val="000000"/>
                <w:kern w:val="0"/>
                <w:lang w:val="en-US" w:eastAsia="zh-CN"/>
              </w:rPr>
            </w:pPr>
            <w:r>
              <w:rPr>
                <w:rFonts w:hint="eastAsia" w:ascii="仿宋_GB2312" w:hAnsi="??" w:eastAsia="仿宋_GB2312" w:cs="仿宋_GB2312"/>
                <w:color w:val="000000"/>
                <w:kern w:val="0"/>
                <w:lang w:val="en-US" w:eastAsia="zh-CN"/>
              </w:rPr>
              <w:t>98.9</w:t>
            </w:r>
          </w:p>
        </w:tc>
        <w:tc>
          <w:tcPr>
            <w:tcW w:w="219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 w:eastAsia="仿宋_GB2312"/>
                <w:kern w:val="0"/>
              </w:rPr>
            </w:pPr>
          </w:p>
        </w:tc>
      </w:tr>
    </w:tbl>
    <w:p>
      <w:pPr>
        <w:rPr>
          <w:rFonts w:ascii="仿宋_GB2312" w:eastAsia="仿宋_GB2312"/>
          <w:vanish/>
          <w:sz w:val="32"/>
          <w:szCs w:val="32"/>
        </w:rPr>
      </w:pPr>
    </w:p>
    <w:p>
      <w:pPr>
        <w:widowControl/>
        <w:jc w:val="left"/>
        <w:rPr>
          <w:rFonts w:ascii="仿宋_GB2312" w:hAnsi="??" w:eastAsia="仿宋_GB2312"/>
          <w:color w:val="000000"/>
          <w:kern w:val="0"/>
          <w:sz w:val="32"/>
          <w:szCs w:val="32"/>
        </w:rPr>
      </w:pPr>
    </w:p>
    <w:p>
      <w:pPr>
        <w:widowControl/>
        <w:spacing w:line="520" w:lineRule="exact"/>
        <w:jc w:val="left"/>
        <w:rPr>
          <w:rFonts w:ascii="仿宋_GB2312" w:hAnsi="??" w:eastAsia="仿宋_GB2312"/>
          <w:color w:val="000000"/>
          <w:kern w:val="0"/>
          <w:sz w:val="32"/>
          <w:szCs w:val="32"/>
        </w:rPr>
      </w:pPr>
      <w:r>
        <w:rPr>
          <w:rFonts w:hint="eastAsia" w:ascii="仿宋_GB2312" w:hAnsi="??" w:eastAsia="仿宋_GB2312" w:cs="仿宋_GB2312"/>
          <w:color w:val="000000"/>
          <w:kern w:val="0"/>
          <w:sz w:val="32"/>
          <w:szCs w:val="32"/>
        </w:rPr>
        <w:t>填报注意事项：</w:t>
      </w:r>
    </w:p>
    <w:p>
      <w:pPr>
        <w:widowControl/>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1.</w:t>
      </w:r>
      <w:r>
        <w:rPr>
          <w:rFonts w:hint="eastAsia" w:ascii="仿宋_GB2312" w:hAnsi="??" w:eastAsia="仿宋_GB2312" w:cs="仿宋_GB2312"/>
          <w:color w:val="000000"/>
          <w:kern w:val="0"/>
          <w:sz w:val="32"/>
          <w:szCs w:val="32"/>
        </w:rPr>
        <w:t>得分一档最高不能超过该指标分值上限。</w:t>
      </w:r>
    </w:p>
    <w:p>
      <w:pPr>
        <w:widowControl/>
        <w:spacing w:line="520" w:lineRule="exact"/>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 xml:space="preserve">    2.</w:t>
      </w:r>
      <w:r>
        <w:rPr>
          <w:rFonts w:hint="eastAsia" w:ascii="仿宋_GB2312" w:hAnsi="??" w:eastAsia="仿宋_GB2312" w:cs="仿宋_GB2312"/>
          <w:color w:val="000000"/>
          <w:kern w:val="0"/>
          <w:sz w:val="32"/>
          <w:szCs w:val="32"/>
        </w:rPr>
        <w:t>定量指标若为正向指标，则得分计算方法应用全年实际值（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该指标分值；若定量指标为反向指标，则得分计算方法应用年度指标值（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该指标分值。若年初指标值设定偏低，则得分计算方法应用（全年实际值（</w:t>
      </w:r>
      <w:r>
        <w:rPr>
          <w:rFonts w:ascii="仿宋_GB2312" w:hAnsi="??" w:eastAsia="仿宋_GB2312" w:cs="仿宋_GB2312"/>
          <w:color w:val="000000"/>
          <w:kern w:val="0"/>
          <w:sz w:val="32"/>
          <w:szCs w:val="32"/>
        </w:rPr>
        <w:t>B</w:t>
      </w:r>
      <w:r>
        <w:rPr>
          <w:rFonts w:hint="eastAsia" w:ascii="仿宋_GB2312" w:hAnsi="??" w:eastAsia="仿宋_GB2312" w:cs="仿宋_GB2312"/>
          <w:color w:val="000000"/>
          <w:kern w:val="0"/>
          <w:sz w:val="32"/>
          <w:szCs w:val="32"/>
        </w:rPr>
        <w:t>）</w:t>
      </w:r>
      <w:r>
        <w:rPr>
          <w:rFonts w:ascii="仿宋_GB2312" w:hAnsi="??" w:eastAsia="仿宋_GB2312" w:cs="??"/>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w:t>
      </w:r>
      <w:r>
        <w:rPr>
          <w:rFonts w:hint="eastAsia" w:ascii="仿宋_GB2312" w:hAnsi="??" w:eastAsia="仿宋_GB2312" w:cs="仿宋_GB2312"/>
          <w:color w:val="000000"/>
          <w:kern w:val="0"/>
          <w:sz w:val="32"/>
          <w:szCs w:val="32"/>
        </w:rPr>
        <w:t>年度指标值（</w:t>
      </w:r>
      <w:r>
        <w:rPr>
          <w:rFonts w:ascii="仿宋_GB2312" w:hAnsi="??" w:eastAsia="仿宋_GB2312" w:cs="仿宋_GB2312"/>
          <w:color w:val="000000"/>
          <w:kern w:val="0"/>
          <w:sz w:val="32"/>
          <w:szCs w:val="32"/>
        </w:rPr>
        <w:t>A</w:t>
      </w:r>
      <w:r>
        <w:rPr>
          <w:rFonts w:hint="eastAsia" w:ascii="仿宋_GB2312" w:hAnsi="??" w:eastAsia="仿宋_GB2312" w:cs="仿宋_GB2312"/>
          <w:color w:val="000000"/>
          <w:kern w:val="0"/>
          <w:sz w:val="32"/>
          <w:szCs w:val="32"/>
        </w:rPr>
        <w:t>）</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。若计算结果在</w:t>
      </w:r>
      <w:r>
        <w:rPr>
          <w:rFonts w:ascii="仿宋_GB2312" w:hAnsi="??" w:eastAsia="仿宋_GB2312" w:cs="仿宋_GB2312"/>
          <w:color w:val="000000"/>
          <w:kern w:val="0"/>
          <w:sz w:val="32"/>
          <w:szCs w:val="32"/>
        </w:rPr>
        <w:t>200%-300%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200%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10%</w:t>
      </w:r>
      <w:r>
        <w:rPr>
          <w:rFonts w:hint="eastAsia" w:ascii="仿宋_GB2312" w:hAnsi="??" w:eastAsia="仿宋_GB2312" w:cs="仿宋_GB2312"/>
          <w:color w:val="000000"/>
          <w:kern w:val="0"/>
          <w:sz w:val="32"/>
          <w:szCs w:val="32"/>
        </w:rPr>
        <w:t>扣分；计算结果在</w:t>
      </w:r>
      <w:r>
        <w:rPr>
          <w:rFonts w:ascii="仿宋_GB2312" w:hAnsi="??" w:eastAsia="仿宋_GB2312" w:cs="仿宋_GB2312"/>
          <w:color w:val="000000"/>
          <w:kern w:val="0"/>
          <w:sz w:val="32"/>
          <w:szCs w:val="32"/>
        </w:rPr>
        <w:t>300%-500%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300%</w:t>
      </w:r>
      <w:r>
        <w:rPr>
          <w:rFonts w:hint="eastAsia" w:ascii="仿宋_GB2312" w:hAnsi="??" w:eastAsia="仿宋_GB2312" w:cs="仿宋_GB2312"/>
          <w:color w:val="000000"/>
          <w:kern w:val="0"/>
          <w:sz w:val="32"/>
          <w:szCs w:val="32"/>
        </w:rPr>
        <w:t>）区间，则按照该指标分值的</w:t>
      </w:r>
      <w:r>
        <w:rPr>
          <w:rFonts w:ascii="仿宋_GB2312" w:hAnsi="??" w:eastAsia="仿宋_GB2312" w:cs="仿宋_GB2312"/>
          <w:color w:val="000000"/>
          <w:kern w:val="0"/>
          <w:sz w:val="32"/>
          <w:szCs w:val="32"/>
        </w:rPr>
        <w:t>20%</w:t>
      </w:r>
      <w:r>
        <w:rPr>
          <w:rFonts w:hint="eastAsia" w:ascii="仿宋_GB2312" w:hAnsi="??" w:eastAsia="仿宋_GB2312" w:cs="仿宋_GB2312"/>
          <w:color w:val="000000"/>
          <w:kern w:val="0"/>
          <w:sz w:val="32"/>
          <w:szCs w:val="32"/>
        </w:rPr>
        <w:t>扣分；计算结果高于</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500%</w:t>
      </w:r>
      <w:r>
        <w:rPr>
          <w:rFonts w:hint="eastAsia" w:ascii="仿宋_GB2312" w:hAnsi="??" w:eastAsia="仿宋_GB2312" w:cs="仿宋_GB2312"/>
          <w:color w:val="000000"/>
          <w:kern w:val="0"/>
          <w:sz w:val="32"/>
          <w:szCs w:val="32"/>
        </w:rPr>
        <w:t>），则按照该指标分值的</w:t>
      </w:r>
      <w:r>
        <w:rPr>
          <w:rFonts w:ascii="仿宋_GB2312" w:hAnsi="??" w:eastAsia="仿宋_GB2312" w:cs="仿宋_GB2312"/>
          <w:color w:val="000000"/>
          <w:kern w:val="0"/>
          <w:sz w:val="32"/>
          <w:szCs w:val="32"/>
        </w:rPr>
        <w:t>30%</w:t>
      </w:r>
      <w:r>
        <w:rPr>
          <w:rFonts w:hint="eastAsia" w:ascii="仿宋_GB2312" w:hAnsi="??" w:eastAsia="仿宋_GB2312" w:cs="仿宋_GB2312"/>
          <w:color w:val="000000"/>
          <w:kern w:val="0"/>
          <w:sz w:val="32"/>
          <w:szCs w:val="32"/>
        </w:rPr>
        <w:t>扣分。</w:t>
      </w:r>
    </w:p>
    <w:p>
      <w:pPr>
        <w:spacing w:line="520" w:lineRule="exact"/>
        <w:ind w:firstLine="640" w:firstLineChars="200"/>
        <w:jc w:val="left"/>
        <w:rPr>
          <w:rFonts w:ascii="仿宋_GB2312" w:hAnsi="??" w:eastAsia="仿宋_GB2312"/>
          <w:color w:val="000000"/>
          <w:kern w:val="0"/>
          <w:sz w:val="32"/>
          <w:szCs w:val="32"/>
        </w:rPr>
      </w:pPr>
      <w:r>
        <w:rPr>
          <w:rFonts w:ascii="仿宋_GB2312" w:hAnsi="??" w:eastAsia="仿宋_GB2312" w:cs="仿宋_GB2312"/>
          <w:color w:val="000000"/>
          <w:kern w:val="0"/>
          <w:sz w:val="32"/>
          <w:szCs w:val="32"/>
        </w:rPr>
        <w:t>3.</w:t>
      </w:r>
      <w:r>
        <w:rPr>
          <w:rFonts w:hint="eastAsia" w:ascii="仿宋_GB2312" w:hAnsi="??" w:eastAsia="仿宋_GB2312" w:cs="仿宋_GB2312"/>
          <w:color w:val="000000"/>
          <w:kern w:val="0"/>
          <w:sz w:val="32"/>
          <w:szCs w:val="32"/>
        </w:rPr>
        <w:t>请在“偏差原因分析及改进措施”中说明偏离目标、不能完成目标的原因及拟采取的措施。</w:t>
      </w:r>
    </w:p>
    <w:p>
      <w:pPr>
        <w:spacing w:line="520" w:lineRule="exact"/>
        <w:ind w:firstLine="640" w:firstLineChars="200"/>
      </w:pPr>
      <w:r>
        <w:rPr>
          <w:rFonts w:ascii="仿宋_GB2312" w:hAnsi="??" w:eastAsia="仿宋_GB2312" w:cs="仿宋_GB2312"/>
          <w:color w:val="000000"/>
          <w:kern w:val="0"/>
          <w:sz w:val="32"/>
          <w:szCs w:val="32"/>
        </w:rPr>
        <w:t>4.90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-100</w:t>
      </w:r>
      <w:r>
        <w:rPr>
          <w:rFonts w:hint="eastAsia" w:ascii="仿宋_GB2312" w:hAnsi="??" w:eastAsia="仿宋_GB2312" w:cs="仿宋_GB2312"/>
          <w:color w:val="000000"/>
          <w:kern w:val="0"/>
          <w:sz w:val="32"/>
          <w:szCs w:val="32"/>
        </w:rPr>
        <w:t>分为优、</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-90</w:t>
      </w:r>
      <w:r>
        <w:rPr>
          <w:rFonts w:hint="eastAsia" w:ascii="仿宋_GB2312" w:hAnsi="??" w:eastAsia="仿宋_GB2312" w:cs="仿宋_GB2312"/>
          <w:color w:val="000000"/>
          <w:kern w:val="0"/>
          <w:sz w:val="32"/>
          <w:szCs w:val="32"/>
        </w:rPr>
        <w:t>分为良、</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（含）</w:t>
      </w:r>
      <w:r>
        <w:rPr>
          <w:rFonts w:ascii="仿宋_GB2312" w:hAnsi="??" w:eastAsia="仿宋_GB2312" w:cs="仿宋_GB2312"/>
          <w:color w:val="000000"/>
          <w:kern w:val="0"/>
          <w:sz w:val="32"/>
          <w:szCs w:val="32"/>
        </w:rPr>
        <w:t>-80</w:t>
      </w:r>
      <w:r>
        <w:rPr>
          <w:rFonts w:hint="eastAsia" w:ascii="仿宋_GB2312" w:hAnsi="??" w:eastAsia="仿宋_GB2312" w:cs="仿宋_GB2312"/>
          <w:color w:val="000000"/>
          <w:kern w:val="0"/>
          <w:sz w:val="32"/>
          <w:szCs w:val="32"/>
        </w:rPr>
        <w:t>分为中、</w:t>
      </w:r>
      <w:r>
        <w:rPr>
          <w:rFonts w:ascii="仿宋_GB2312" w:hAnsi="??" w:eastAsia="仿宋_GB2312" w:cs="仿宋_GB2312"/>
          <w:color w:val="000000"/>
          <w:kern w:val="0"/>
          <w:sz w:val="32"/>
          <w:szCs w:val="32"/>
        </w:rPr>
        <w:t>60</w:t>
      </w:r>
      <w:r>
        <w:rPr>
          <w:rFonts w:hint="eastAsia" w:ascii="仿宋_GB2312" w:hAnsi="??" w:eastAsia="仿宋_GB2312" w:cs="仿宋_GB2312"/>
          <w:color w:val="000000"/>
          <w:kern w:val="0"/>
          <w:sz w:val="32"/>
          <w:szCs w:val="32"/>
        </w:rPr>
        <w:t>分以下为差。</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altName w:val="黑体"/>
    <w:panose1 w:val="02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00" w:usb3="00000000" w:csb0="00000000" w:csb1="00000000"/>
  </w:font>
  <w:font w:name="??">
    <w:altName w:val="Segoe Print"/>
    <w:panose1 w:val="00000000000000000000"/>
    <w:charset w:val="00"/>
    <w:family w:val="auto"/>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 w:hAnsi="??" w:cs="??"/>
        <w:sz w:val="28"/>
        <w:szCs w:val="28"/>
      </w:rPr>
    </w:pPr>
    <w: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LNJ&#10;WO7QAAAABQEAAA8AAAAAAAAAAQAgAAAAIgAAAGRycy9kb3ducmV2LnhtbFBLAQIUABQAAAAIAIdO&#10;4kA3nK7uuQEAAFcDAAAOAAAAAAAAAAEAIAAAAB8BAABkcnMvZTJvRG9jLnhtbFBLBQYAAAAABgAG&#10;AFkBAABKBQAAAAA=&#10;">
              <v:fill on="f" focussize="0,0"/>
              <v:stroke on="f" weight="0.5pt"/>
              <v:imagedata o:title=""/>
              <o:lock v:ext="edit" aspectratio="f"/>
              <v:textbox inset="0mm,0mm,0mm,0mm" style="mso-fit-shape-to-text:t;">
                <w:txbxContent>
                  <w:p>
                    <w:pPr>
                      <w:pStyle w:val="3"/>
                      <w:jc w:val="right"/>
                    </w:pPr>
                    <w:r>
                      <w:rPr>
                        <w:rFonts w:ascii="??" w:hAnsi="??" w:cs="??"/>
                        <w:sz w:val="28"/>
                        <w:szCs w:val="28"/>
                      </w:rPr>
                      <w:fldChar w:fldCharType="begin"/>
                    </w:r>
                    <w:r>
                      <w:rPr>
                        <w:rFonts w:ascii="??" w:hAnsi="??" w:cs="??"/>
                        <w:sz w:val="28"/>
                        <w:szCs w:val="28"/>
                      </w:rPr>
                      <w:instrText xml:space="preserve">PAGE   \* MERGEFORMAT</w:instrText>
                    </w:r>
                    <w:r>
                      <w:rPr>
                        <w:rFonts w:ascii="??" w:hAnsi="??" w:cs="??"/>
                        <w:sz w:val="28"/>
                        <w:szCs w:val="28"/>
                      </w:rPr>
                      <w:fldChar w:fldCharType="separate"/>
                    </w:r>
                    <w:r>
                      <w:rPr>
                        <w:rFonts w:ascii="??" w:hAnsi="??" w:cs="??"/>
                        <w:sz w:val="28"/>
                        <w:szCs w:val="28"/>
                        <w:lang w:val="zh-CN"/>
                      </w:rPr>
                      <w:t>-</w:t>
                    </w:r>
                    <w:r>
                      <w:rPr>
                        <w:rFonts w:ascii="??" w:hAnsi="??" w:cs="??"/>
                        <w:sz w:val="28"/>
                        <w:szCs w:val="28"/>
                      </w:rPr>
                      <w:t xml:space="preserve"> 1 -</w:t>
                    </w:r>
                    <w:r>
                      <w:rPr>
                        <w:rFonts w:ascii="??" w:hAnsi="??" w:cs="??"/>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VlZDNhNmY3MzhlMWFjMDBkZmY5YjFiNzhhZGJiZDMifQ=="/>
  </w:docVars>
  <w:rsids>
    <w:rsidRoot w:val="F77F09F4"/>
    <w:rsid w:val="00212B3B"/>
    <w:rsid w:val="003518EE"/>
    <w:rsid w:val="004C37F4"/>
    <w:rsid w:val="006462FD"/>
    <w:rsid w:val="008F7B3D"/>
    <w:rsid w:val="00AF513F"/>
    <w:rsid w:val="00BC4D7D"/>
    <w:rsid w:val="00C6637B"/>
    <w:rsid w:val="00D65E5D"/>
    <w:rsid w:val="00D7349D"/>
    <w:rsid w:val="00E53254"/>
    <w:rsid w:val="00F67A40"/>
    <w:rsid w:val="0D160523"/>
    <w:rsid w:val="15CF4540"/>
    <w:rsid w:val="181842FB"/>
    <w:rsid w:val="1AED2F85"/>
    <w:rsid w:val="28AC3316"/>
    <w:rsid w:val="2B2D03D0"/>
    <w:rsid w:val="37173543"/>
    <w:rsid w:val="3FF76880"/>
    <w:rsid w:val="42077C89"/>
    <w:rsid w:val="4CC21DD8"/>
    <w:rsid w:val="511B1E61"/>
    <w:rsid w:val="667A3EA9"/>
    <w:rsid w:val="70FD4307"/>
    <w:rsid w:val="7AB7FF50"/>
    <w:rsid w:val="7BFEB0DB"/>
    <w:rsid w:val="CEFD3F3D"/>
    <w:rsid w:val="DDFF0D91"/>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2"/>
    <w:basedOn w:val="1"/>
    <w:next w:val="1"/>
    <w:link w:val="7"/>
    <w:qFormat/>
    <w:uiPriority w:val="99"/>
    <w:pPr>
      <w:keepNext/>
      <w:keepLines/>
      <w:spacing w:before="260" w:after="260" w:line="413" w:lineRule="auto"/>
      <w:outlineLvl w:val="1"/>
    </w:pPr>
    <w:rPr>
      <w:rFonts w:ascii="Arial" w:hAnsi="Arial" w:eastAsia="黑体" w:cs="Arial"/>
      <w:b/>
      <w:bCs/>
      <w:sz w:val="32"/>
      <w:szCs w:val="32"/>
    </w:rPr>
  </w:style>
  <w:style w:type="character" w:default="1" w:styleId="5">
    <w:name w:val="Default Paragraph Font"/>
    <w:semiHidden/>
    <w:qFormat/>
    <w:uiPriority w:val="99"/>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szCs w:val="18"/>
    </w:rPr>
  </w:style>
  <w:style w:type="character" w:customStyle="1" w:styleId="7">
    <w:name w:val="Heading 2 Char"/>
    <w:basedOn w:val="5"/>
    <w:link w:val="2"/>
    <w:semiHidden/>
    <w:qFormat/>
    <w:locked/>
    <w:uiPriority w:val="99"/>
    <w:rPr>
      <w:rFonts w:ascii="Cambria" w:hAnsi="Cambria" w:eastAsia="宋体" w:cs="Cambria"/>
      <w:b/>
      <w:bCs/>
      <w:sz w:val="32"/>
      <w:szCs w:val="32"/>
    </w:rPr>
  </w:style>
  <w:style w:type="character" w:customStyle="1" w:styleId="8">
    <w:name w:val="Footer Char"/>
    <w:basedOn w:val="5"/>
    <w:link w:val="3"/>
    <w:semiHidden/>
    <w:qFormat/>
    <w:locked/>
    <w:uiPriority w:val="99"/>
    <w:rPr>
      <w:rFonts w:ascii="Times New Roman" w:hAnsi="Times New Roman" w:cs="Times New Roman"/>
      <w:sz w:val="18"/>
      <w:szCs w:val="18"/>
    </w:rPr>
  </w:style>
  <w:style w:type="character" w:customStyle="1" w:styleId="9">
    <w:name w:val="Header Char"/>
    <w:basedOn w:val="5"/>
    <w:link w:val="4"/>
    <w:semiHidden/>
    <w:qFormat/>
    <w:locked/>
    <w:uiPriority w:val="99"/>
    <w:rPr>
      <w:rFonts w:ascii="Times New Roman" w:hAnsi="Times New Roman" w:cs="Times New Roman"/>
      <w:sz w:val="18"/>
      <w:szCs w:val="18"/>
    </w:rPr>
  </w:style>
  <w:style w:type="paragraph" w:customStyle="1" w:styleId="10">
    <w:name w:val="列出段落1"/>
    <w:basedOn w:val="1"/>
    <w:qFormat/>
    <w:uiPriority w:val="99"/>
    <w:pPr>
      <w:ind w:firstLine="420" w:firstLineChars="200"/>
    </w:pPr>
    <w:rPr>
      <w:rFonts w:ascii="Calibri" w:hAnsi="Calibri" w:cs="Calibri"/>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3</Pages>
  <Words>1449</Words>
  <Characters>1663</Characters>
  <Lines>0</Lines>
  <Paragraphs>0</Paragraphs>
  <TotalTime>81</TotalTime>
  <ScaleCrop>false</ScaleCrop>
  <LinksUpToDate>false</LinksUpToDate>
  <CharactersWithSpaces>1700</CharactersWithSpaces>
  <Application>WPS Office_10.8.2.7027_F1E327BC-269C-435d-A152-05C5408002CA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2022-03-10T19:16:00Z</dcterms:created>
  <dc:creator>user</dc:creator>
  <cp:lastModifiedBy>田丽艳</cp:lastModifiedBy>
  <cp:lastPrinted>2022-03-25T02:01:00Z</cp:lastPrinted>
  <dcterms:modified xsi:type="dcterms:W3CDTF">2023-06-09T05:32:59Z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2052-10.8.2.7027</vt:lpwstr>
  </property>
  <property fmtid="{D5CDD505-2E9C-101B-9397-08002B2CF9AE}" pid="3" name="ICV">
    <vt:lpwstr>FDDAD414AC154D4085573EF75225383B</vt:lpwstr>
  </property>
</Properties>
</file>