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8922" w:type="dxa"/>
        <w:jc w:val="center"/>
        <w:tblLayout w:type="fixed"/>
        <w:tblCellMar>
          <w:top w:w="0" w:type="dxa"/>
          <w:left w:w="108" w:type="dxa"/>
          <w:bottom w:w="0" w:type="dxa"/>
          <w:right w:w="108" w:type="dxa"/>
        </w:tblCellMar>
      </w:tblPr>
      <w:tblGrid>
        <w:gridCol w:w="585"/>
        <w:gridCol w:w="684"/>
        <w:gridCol w:w="802"/>
        <w:gridCol w:w="1130"/>
        <w:gridCol w:w="240"/>
        <w:gridCol w:w="1300"/>
        <w:gridCol w:w="1800"/>
        <w:gridCol w:w="567"/>
        <w:gridCol w:w="285"/>
        <w:gridCol w:w="248"/>
        <w:gridCol w:w="598"/>
        <w:gridCol w:w="683"/>
      </w:tblGrid>
      <w:tr>
        <w:tblPrEx>
          <w:tblCellMar>
            <w:top w:w="0" w:type="dxa"/>
            <w:left w:w="108" w:type="dxa"/>
            <w:bottom w:w="0" w:type="dxa"/>
            <w:right w:w="108" w:type="dxa"/>
          </w:tblCellMar>
        </w:tblPrEx>
        <w:trPr>
          <w:trHeight w:val="481"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653"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2021年生态农业建设-设施农业产地土壤环境质量和农产品质量安全协同监测</w:t>
            </w:r>
          </w:p>
        </w:tc>
      </w:tr>
      <w:tr>
        <w:tblPrEx>
          <w:tblCellMar>
            <w:top w:w="0" w:type="dxa"/>
            <w:left w:w="108" w:type="dxa"/>
            <w:bottom w:w="0" w:type="dxa"/>
            <w:right w:w="108" w:type="dxa"/>
          </w:tblCellMar>
        </w:tblPrEx>
        <w:trPr>
          <w:trHeight w:val="306"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4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tblPrEx>
          <w:tblCellMar>
            <w:top w:w="0" w:type="dxa"/>
            <w:left w:w="108" w:type="dxa"/>
            <w:bottom w:w="0" w:type="dxa"/>
            <w:right w:w="108" w:type="dxa"/>
          </w:tblCellMar>
        </w:tblPrEx>
        <w:trPr>
          <w:trHeight w:val="306"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4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刘晓霞</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82078444</w:t>
            </w:r>
          </w:p>
        </w:tc>
      </w:tr>
      <w:tr>
        <w:tblPrEx>
          <w:tblCellMar>
            <w:top w:w="0" w:type="dxa"/>
            <w:left w:w="108" w:type="dxa"/>
            <w:bottom w:w="0" w:type="dxa"/>
            <w:right w:w="108" w:type="dxa"/>
          </w:tblCellMar>
        </w:tblPrEx>
        <w:trPr>
          <w:trHeight w:val="567" w:hRule="exact"/>
          <w:jc w:val="center"/>
        </w:trPr>
        <w:tc>
          <w:tcPr>
            <w:tcW w:w="126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116.46</w:t>
            </w: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99.40%</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9.94</w:t>
            </w:r>
          </w:p>
        </w:tc>
      </w:tr>
      <w:tr>
        <w:tblPrEx>
          <w:tblCellMar>
            <w:top w:w="0" w:type="dxa"/>
            <w:left w:w="108" w:type="dxa"/>
            <w:bottom w:w="0" w:type="dxa"/>
            <w:right w:w="108" w:type="dxa"/>
          </w:tblCellMar>
        </w:tblPrEx>
        <w:trPr>
          <w:trHeight w:val="601"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116.46</w:t>
            </w: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99.40%</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上年结转资金</w:t>
            </w: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其他资金</w:t>
            </w: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1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1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1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 xml:space="preserve">  在我市设施农业生产的重点区布设土壤环境质量和农产品质量安全协同监测点，布设80处监测点进行320个土壤和农产品协同监测，并完成年度总结报告。</w:t>
            </w:r>
          </w:p>
        </w:tc>
        <w:tc>
          <w:tcPr>
            <w:tcW w:w="41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在全市13个农业区的设施农业生产基地布设土壤环境质量和农产品质量安全协同监点80处，完成320个土壤和农产品的协同监测，并完成年度总结报告。</w:t>
            </w:r>
          </w:p>
        </w:tc>
      </w:tr>
      <w:tr>
        <w:tblPrEx>
          <w:tblCellMar>
            <w:top w:w="0" w:type="dxa"/>
            <w:left w:w="108" w:type="dxa"/>
            <w:bottom w:w="0" w:type="dxa"/>
            <w:right w:w="108" w:type="dxa"/>
          </w:tblCellMar>
        </w:tblPrEx>
        <w:trPr>
          <w:trHeight w:val="976"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68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5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监测点位布设</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土壤样本采集</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农产品样本采集</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土壤样本制备</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每份土壤样本包含原样土、20目、100目3种</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每份土壤样本3种，包含原样土、20目和100目，其中100目又包括A样和B 样各1份。</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农产品样本制备</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每份农产品制备A、B样各1个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每份农产品制备样品2个，包括A、B样各1个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总结报告</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1份</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完成项目总结报告1份，并向局生态建设处进行了汇报。</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布点涵盖范围</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覆盖设施农业重点区不少于6个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覆盖全市13个农业区</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检测数据</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样本重金属检测CMA报告</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农产品样本和土壤样本的重金属等项目的CMA检测报告各1份</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完成点位布设，启动协同采样监测</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6月底前完成</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已于3月中旬完成具体点位布设，并4月初全面启动了土壤与农产品的协同监测</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完成样本采集</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10月底前完成</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10月中旬已完成监测点样本采集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370"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项目预算控制数</w:t>
            </w:r>
          </w:p>
        </w:tc>
        <w:tc>
          <w:tcPr>
            <w:tcW w:w="13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不超过项目金额11</w:t>
            </w:r>
            <w:r>
              <w:rPr>
                <w:rFonts w:hint="eastAsia" w:ascii="仿宋_GB2312" w:hAnsi="??" w:eastAsia="仿宋_GB2312" w:cs="仿宋_GB2312"/>
                <w:kern w:val="0"/>
                <w:lang w:val="en-US" w:eastAsia="zh-CN"/>
              </w:rPr>
              <w:t>3</w:t>
            </w:r>
            <w:r>
              <w:rPr>
                <w:rFonts w:hint="eastAsia" w:ascii="仿宋_GB2312" w:hAnsi="??" w:eastAsia="仿宋_GB2312" w:cs="仿宋_GB2312"/>
                <w:kern w:val="0"/>
              </w:rPr>
              <w:t>.</w:t>
            </w:r>
            <w:r>
              <w:rPr>
                <w:rFonts w:hint="eastAsia" w:ascii="仿宋_GB2312" w:hAnsi="??" w:eastAsia="仿宋_GB2312" w:cs="仿宋_GB2312"/>
                <w:kern w:val="0"/>
                <w:lang w:val="en-US" w:eastAsia="zh-CN"/>
              </w:rPr>
              <w:t>324</w:t>
            </w:r>
            <w:r>
              <w:rPr>
                <w:rFonts w:hint="eastAsia" w:ascii="仿宋_GB2312" w:hAnsi="??" w:eastAsia="仿宋_GB2312" w:cs="仿宋_GB2312"/>
                <w:kern w:val="0"/>
              </w:rPr>
              <w:t>万元。</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项目全年执行数为</w:t>
            </w:r>
            <w:r>
              <w:rPr>
                <w:rFonts w:hint="eastAsia" w:ascii="仿宋_GB2312" w:hAnsi="??" w:eastAsia="仿宋_GB2312"/>
                <w:kern w:val="0"/>
              </w:rPr>
              <w:t>112.644233</w:t>
            </w:r>
            <w:r>
              <w:rPr>
                <w:rFonts w:hint="eastAsia" w:ascii="仿宋_GB2312" w:hAnsi="??" w:eastAsia="仿宋_GB2312" w:cs="仿宋_GB2312"/>
                <w:kern w:val="0"/>
              </w:rPr>
              <w:t>万元</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效益指标</w:t>
            </w: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370"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社会效益</w:t>
            </w:r>
          </w:p>
        </w:tc>
        <w:tc>
          <w:tcPr>
            <w:tcW w:w="13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落实《北京市土壤污染防治工作方案》，保障农产品质量安全。</w:t>
            </w:r>
          </w:p>
        </w:tc>
        <w:tc>
          <w:tcPr>
            <w:tcW w:w="18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落实《北京市土壤污染防治工作方案》，在13 个农业区全面开展了设施农业产地土壤与农产品协同监测，获得了第一手的数据资料，为保障农产品质量安全提供数据支持。在此工作基础上在全市农业局与生态</w:t>
            </w:r>
            <w:r>
              <w:rPr>
                <w:rFonts w:hint="eastAsia" w:ascii="仿宋_GB2312" w:hAnsi="??" w:eastAsia="仿宋_GB2312" w:cs="仿宋_GB2312"/>
                <w:kern w:val="0"/>
                <w:lang w:val="en-US" w:eastAsia="zh-CN"/>
              </w:rPr>
              <w:t>环境</w:t>
            </w:r>
            <w:bookmarkStart w:id="0" w:name="_GoBack"/>
            <w:bookmarkEnd w:id="0"/>
            <w:r>
              <w:rPr>
                <w:rFonts w:hint="eastAsia" w:ascii="仿宋_GB2312" w:hAnsi="??" w:eastAsia="仿宋_GB2312" w:cs="仿宋_GB2312"/>
                <w:kern w:val="0"/>
              </w:rPr>
              <w:t>局市区乡镇三级机构网络技术培训，为我市设施产地环境协同监测提供实用技术。</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1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370"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环境效益</w:t>
            </w:r>
          </w:p>
        </w:tc>
        <w:tc>
          <w:tcPr>
            <w:tcW w:w="13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落实《北京市土壤污染防治工作方案》，为加强设施农业用地土壤环境管理、推动农用地地土壤环境质量类别划分，保障农产品产地环境质量安全提供数据支持。</w:t>
            </w:r>
          </w:p>
        </w:tc>
        <w:tc>
          <w:tcPr>
            <w:tcW w:w="18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中，加强设施农业用地土壤环境管理的相关规定；填补了农用地详查未能涉及的设施处女地土壤质量监测工作，进一步推动了我市农用地土壤环境质量类别划分工作范围，为保障农产品产地环境质量安全提供数据支持。</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9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满足局业务处室对项目的相关要求</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满意度达85%以上</w:t>
            </w:r>
          </w:p>
        </w:tc>
        <w:tc>
          <w:tcPr>
            <w:tcW w:w="1800" w:type="dxa"/>
            <w:tcBorders>
              <w:top w:val="single" w:color="auto" w:sz="4" w:space="0"/>
              <w:left w:val="nil"/>
              <w:bottom w:val="single" w:color="auto" w:sz="4" w:space="0"/>
              <w:right w:val="single" w:color="auto" w:sz="4" w:space="0"/>
            </w:tcBorders>
            <w:vAlign w:val="center"/>
          </w:tcPr>
          <w:p>
            <w:pPr>
              <w:rPr>
                <w:rFonts w:ascii="仿宋_GB2312" w:hAnsi="??" w:eastAsia="仿宋_GB2312" w:cs="仿宋_GB2312"/>
                <w:kern w:val="0"/>
              </w:rPr>
            </w:pPr>
            <w:r>
              <w:rPr>
                <w:rFonts w:hint="eastAsia" w:ascii="仿宋_GB2312" w:hAnsi="??" w:eastAsia="仿宋_GB2312" w:cs="仿宋_GB2312"/>
                <w:kern w:val="0"/>
              </w:rPr>
              <w:t>局主管处室生态建设处满意度为非常满意，并已经此项工作纳入下一年度预算中。</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按照主管处室要求进一步梳理工作中的有效工作措施，继续做好与主管处室的业务交流汇报。</w:t>
            </w:r>
          </w:p>
        </w:tc>
      </w:tr>
      <w:tr>
        <w:tblPrEx>
          <w:tblCellMar>
            <w:top w:w="0" w:type="dxa"/>
            <w:left w:w="108" w:type="dxa"/>
            <w:bottom w:w="0" w:type="dxa"/>
            <w:right w:w="108" w:type="dxa"/>
          </w:tblCellMar>
        </w:tblPrEx>
        <w:trPr>
          <w:trHeight w:val="477" w:hRule="exact"/>
          <w:jc w:val="center"/>
        </w:trPr>
        <w:tc>
          <w:tcPr>
            <w:tcW w:w="6541"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98.94</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387985" cy="346710"/>
              <wp:effectExtent l="0" t="0" r="1905"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387985" cy="346710"/>
                      </a:xfrm>
                      <a:prstGeom prst="rect">
                        <a:avLst/>
                      </a:prstGeom>
                      <a:noFill/>
                      <a:ln>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27.3pt;width:30.55pt;mso-position-horizontal:right;mso-position-horizontal-relative:margin;mso-wrap-style:none;z-index:251659264;mso-width-relative:page;mso-height-relative:page;" filled="f" stroked="f" coordsize="21600,21600" o:gfxdata="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hTqR9EAAAADAQAADwAAAAAAAAABACAAAAAiAAAAZHJzL2Rvd25yZXYueG1sUEsBAhQA&#10;FAAAAAgAh07iQGgJO2f5AQAAAQQAAA4AAAAAAAAAAQAgAAAAIAEAAGRycy9lMm9Eb2MueG1sUEsF&#10;BgAAAAAGAAYAWQEAAIsFAAAAAA==&#10;">
              <v:fill on="f" focussize="0,0"/>
              <v:stroke on="f"/>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yYmI0NzFiOTllNTNhYjQzN2RiNmRkODVlNjNiM2QifQ=="/>
  </w:docVars>
  <w:rsids>
    <w:rsidRoot w:val="F77F09F4"/>
    <w:rsid w:val="000F4D85"/>
    <w:rsid w:val="00172E78"/>
    <w:rsid w:val="00181673"/>
    <w:rsid w:val="001B0D25"/>
    <w:rsid w:val="001B2956"/>
    <w:rsid w:val="00212B3B"/>
    <w:rsid w:val="002956E7"/>
    <w:rsid w:val="00331630"/>
    <w:rsid w:val="003518EE"/>
    <w:rsid w:val="00361189"/>
    <w:rsid w:val="003C6588"/>
    <w:rsid w:val="00424B03"/>
    <w:rsid w:val="004458E9"/>
    <w:rsid w:val="00484F98"/>
    <w:rsid w:val="004C37F4"/>
    <w:rsid w:val="004D2BE0"/>
    <w:rsid w:val="005E0F1C"/>
    <w:rsid w:val="00620A5F"/>
    <w:rsid w:val="00635A2E"/>
    <w:rsid w:val="006462FD"/>
    <w:rsid w:val="00770213"/>
    <w:rsid w:val="007C7455"/>
    <w:rsid w:val="007C7E43"/>
    <w:rsid w:val="007E5AE6"/>
    <w:rsid w:val="008074CD"/>
    <w:rsid w:val="00832061"/>
    <w:rsid w:val="008A0CF4"/>
    <w:rsid w:val="008A4A6D"/>
    <w:rsid w:val="008F7B3D"/>
    <w:rsid w:val="00985FCE"/>
    <w:rsid w:val="009D0344"/>
    <w:rsid w:val="009E7B7E"/>
    <w:rsid w:val="00AC2987"/>
    <w:rsid w:val="00AF513F"/>
    <w:rsid w:val="00B01741"/>
    <w:rsid w:val="00B65DB6"/>
    <w:rsid w:val="00BB2BF4"/>
    <w:rsid w:val="00BC4D7D"/>
    <w:rsid w:val="00C6637B"/>
    <w:rsid w:val="00C9351A"/>
    <w:rsid w:val="00CA5A85"/>
    <w:rsid w:val="00CF2A35"/>
    <w:rsid w:val="00D0471A"/>
    <w:rsid w:val="00D2467B"/>
    <w:rsid w:val="00D4100E"/>
    <w:rsid w:val="00D54492"/>
    <w:rsid w:val="00D65E5D"/>
    <w:rsid w:val="00D7349D"/>
    <w:rsid w:val="00D77F17"/>
    <w:rsid w:val="00E53254"/>
    <w:rsid w:val="00E821B5"/>
    <w:rsid w:val="00F67A40"/>
    <w:rsid w:val="00F830FC"/>
    <w:rsid w:val="00FA6458"/>
    <w:rsid w:val="04447BAC"/>
    <w:rsid w:val="0F3C3B4D"/>
    <w:rsid w:val="29C973BC"/>
    <w:rsid w:val="2F6C023B"/>
    <w:rsid w:val="37173543"/>
    <w:rsid w:val="371A4D31"/>
    <w:rsid w:val="3FF76880"/>
    <w:rsid w:val="483E4619"/>
    <w:rsid w:val="49974B97"/>
    <w:rsid w:val="69E320C6"/>
    <w:rsid w:val="7080724D"/>
    <w:rsid w:val="715E4799"/>
    <w:rsid w:val="75BA294F"/>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link w:val="2"/>
    <w:semiHidden/>
    <w:qFormat/>
    <w:locked/>
    <w:uiPriority w:val="99"/>
    <w:rPr>
      <w:rFonts w:ascii="Cambria" w:hAnsi="Cambria" w:eastAsia="宋体" w:cs="Cambria"/>
      <w:b/>
      <w:bCs/>
      <w:sz w:val="32"/>
      <w:szCs w:val="32"/>
    </w:rPr>
  </w:style>
  <w:style w:type="character" w:customStyle="1" w:styleId="8">
    <w:name w:val="页脚 Char"/>
    <w:link w:val="3"/>
    <w:semiHidden/>
    <w:locked/>
    <w:uiPriority w:val="99"/>
    <w:rPr>
      <w:rFonts w:ascii="Times New Roman" w:hAnsi="Times New Roman" w:cs="Times New Roman"/>
      <w:sz w:val="18"/>
      <w:szCs w:val="18"/>
    </w:rPr>
  </w:style>
  <w:style w:type="character" w:customStyle="1" w:styleId="9">
    <w:name w:val="页眉 Char"/>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1234</Words>
  <Characters>1356</Characters>
  <Lines>11</Lines>
  <Paragraphs>3</Paragraphs>
  <TotalTime>0</TotalTime>
  <ScaleCrop>false</ScaleCrop>
  <LinksUpToDate>false</LinksUpToDate>
  <CharactersWithSpaces>1389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2022-05-23T15:42:00Z</dcterms:created>
  <dc:creator>user</dc:creator>
  <cp:lastModifiedBy>娄高华</cp:lastModifiedBy>
  <cp:lastPrinted>2022-03-24T10:01:00Z</cp:lastPrinted>
  <dcterms:modified xsi:type="dcterms:W3CDTF">2024-04-12T08:15:31Z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3D5613FBACDB4AB6A358BAB6EA3B1130</vt:lpwstr>
  </property>
</Properties>
</file>