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129"/>
        <w:gridCol w:w="1003"/>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2021年连栋温室工厂化生产专业化服务模式探索与应用</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北京市农业技术推广站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雷喜红</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010-84626743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项目资金</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年初预</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全年预</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全年</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rPr>
            </w:pPr>
            <w:r>
              <w:rPr>
                <w:rFonts w:hint="eastAsia" w:ascii="仿宋_GB2312" w:hAnsi="仿宋_GB2312"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132.14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131.8114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129.0312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97.89%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9.79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其中：当年财政</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132.14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131.8114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129.0312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实际完成情况</w:t>
            </w:r>
          </w:p>
        </w:tc>
      </w:tr>
      <w:tr>
        <w:tblPrEx>
          <w:tblCellMar>
            <w:top w:w="0" w:type="dxa"/>
            <w:left w:w="108" w:type="dxa"/>
            <w:bottom w:w="0" w:type="dxa"/>
            <w:right w:w="108" w:type="dxa"/>
          </w:tblCellMar>
        </w:tblPrEx>
        <w:trPr>
          <w:trHeight w:val="358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1.建立高效设施专业化服务模式4套；</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2.扶持高效设施专业化服务组织（企业）2-3家；</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3.引进可降解吊蔓绳及新型消毒产品各1种；</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4.建立技术集成示范点3个，示范点专业化服务模式应用率达到90%以上。</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1.探索建立连栋温室番茄工厂化生产技术咨询、营养液检测、工厂化育苗、植株残体处理及温室清理消毒等专业化服务模式4套。</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2.扶持技术咨询、营养液监测、育苗、植株残体出理、温室消毒等环节高效设施专业化服务组织（企业）5家。</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3.引进示范可降解吊蔓绳1种，新型消毒产品（H</w:t>
            </w:r>
            <w:r>
              <w:rPr>
                <w:rFonts w:hint="eastAsia" w:ascii="仿宋_GB2312" w:hAnsi="仿宋_GB2312" w:eastAsia="仿宋_GB2312" w:cs="仿宋_GB2312"/>
                <w:kern w:val="0"/>
                <w:vertAlign w:val="subscript"/>
              </w:rPr>
              <w:t>2</w:t>
            </w:r>
            <w:r>
              <w:rPr>
                <w:rFonts w:hint="eastAsia" w:ascii="仿宋_GB2312" w:hAnsi="仿宋_GB2312" w:eastAsia="仿宋_GB2312" w:cs="仿宋_GB2312"/>
                <w:kern w:val="0"/>
              </w:rPr>
              <w:t>O</w:t>
            </w:r>
            <w:r>
              <w:rPr>
                <w:rFonts w:hint="eastAsia" w:ascii="仿宋_GB2312" w:hAnsi="仿宋_GB2312" w:eastAsia="仿宋_GB2312" w:cs="仿宋_GB2312"/>
                <w:kern w:val="0"/>
                <w:vertAlign w:val="subscript"/>
              </w:rPr>
              <w:t>2</w:t>
            </w:r>
            <w:r>
              <w:rPr>
                <w:rFonts w:hint="eastAsia" w:ascii="仿宋_GB2312" w:hAnsi="仿宋_GB2312" w:eastAsia="仿宋_GB2312" w:cs="仿宋_GB2312"/>
                <w:kern w:val="0"/>
              </w:rPr>
              <w:t>-Ag）1种。</w:t>
            </w:r>
          </w:p>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4.建立了宏福农业、极星农业、京农智慧农业、小汤山现代农业园等连栋温室生产示范点4个，示范点专业化服务模式应用率达到95%。</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rPr>
            </w:pPr>
            <w:r>
              <w:rPr>
                <w:rFonts w:hint="eastAsia" w:ascii="仿宋_GB2312" w:hAnsi="仿宋_GB2312" w:eastAsia="仿宋_GB2312" w:cs="仿宋_GB2312"/>
                <w:kern w:val="0"/>
              </w:rPr>
              <w:t>绩</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效</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指</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二级指标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三级指标</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年度</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实际</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偏差原因分析及改进</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措施</w:t>
            </w: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数量指标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kern w:val="0"/>
              </w:rPr>
              <w:t>建立高效设施专业化服务模式</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4套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4套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kern w:val="0"/>
              </w:rPr>
              <w:t>扶持高效设施专业化服务组织（企业）</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2-3家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5家</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kern w:val="0"/>
              </w:rPr>
            </w:pPr>
            <w:r>
              <w:rPr>
                <w:rFonts w:hint="eastAsia" w:ascii="仿宋_GB2312" w:hAnsi="仿宋_GB2312" w:eastAsia="仿宋_GB2312" w:cs="仿宋_GB2312"/>
                <w:kern w:val="0"/>
              </w:rPr>
              <w:t>引进植株残体粉碎新设备</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lang w:bidi="ar"/>
              </w:rPr>
            </w:pPr>
            <w:r>
              <w:rPr>
                <w:rFonts w:hint="eastAsia" w:ascii="仿宋_GB2312" w:hAnsi="宋体" w:eastAsia="仿宋_GB2312" w:cs="仿宋_GB2312"/>
                <w:color w:val="000000"/>
                <w:kern w:val="0"/>
                <w:lang w:bidi="ar"/>
              </w:rPr>
              <w:t>4</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lang w:bidi="ar"/>
              </w:rPr>
            </w:pPr>
            <w:r>
              <w:rPr>
                <w:rFonts w:hint="eastAsia" w:ascii="仿宋_GB2312" w:hAnsi="宋体" w:eastAsia="仿宋_GB2312" w:cs="仿宋_GB2312"/>
                <w:color w:val="000000"/>
                <w:kern w:val="0"/>
                <w:lang w:bidi="ar"/>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kern w:val="0"/>
              </w:rPr>
              <w:t>引进可降解吊蔓绳及新型消毒产品</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各1种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各1种</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建立技术集成示范点</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3个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4个</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4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质量指标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示范点专业化服务模式应用率</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90%以上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8</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9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时效指标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成立项目小组、聘请专家组，确定项目实施方案。</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1月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1月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ascii="仿宋_GB2312" w:hAnsi="仿宋_GB2312" w:eastAsia="仿宋_GB2312" w:cs="仿宋_GB2312"/>
                <w:color w:val="000000"/>
                <w:kern w:val="0"/>
              </w:rPr>
              <w:t>开展栽培及管理技术咨询及转化服务及营养液检测回馈服务模式探索，示范应用可降解绳产品；</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2－3月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2－3月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1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ascii="仿宋_GB2312" w:hAnsi="仿宋_GB2312" w:eastAsia="仿宋_GB2312" w:cs="仿宋_GB2312"/>
                <w:color w:val="000000"/>
                <w:kern w:val="0"/>
              </w:rPr>
              <w:t>持续监测、开展营养液检测服务，组织观摩，完成半年总结。</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4－6月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4－6月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22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ascii="仿宋_GB2312" w:hAnsi="仿宋_GB2312" w:eastAsia="仿宋_GB2312" w:cs="仿宋_GB2312"/>
                <w:color w:val="000000"/>
                <w:kern w:val="0"/>
              </w:rPr>
              <w:t>开展温室清理消毒专业化服务模式探索，验证粉碎机、可降解吊蔓绳及新型消毒剂等的应用效果，完善其应用方法；开展番茄小苗龄嫁接育大苗服务模式探索。</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7－11月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7－11月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4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ascii="仿宋_GB2312" w:hAnsi="仿宋_GB2312" w:eastAsia="仿宋_GB2312" w:cs="仿宋_GB2312"/>
                <w:color w:val="000000"/>
                <w:kern w:val="0"/>
              </w:rPr>
              <w:t>针对项目实施过程中出现的问题进行汇总分析，总结完善高效设施专业化服务模式，完成项目验收。</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rPr>
              <w:t>12月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3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成本指标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lang w:val="en-US" w:eastAsia="zh-CN"/>
              </w:rPr>
            </w:pPr>
            <w:r>
              <w:rPr>
                <w:rFonts w:hint="eastAsia" w:ascii="仿宋_GB2312" w:hAnsi="仿宋_GB2312" w:eastAsia="仿宋_GB2312" w:cs="仿宋_GB2312"/>
                <w:color w:val="000000"/>
                <w:kern w:val="0"/>
              </w:rPr>
              <w:t>项目</w:t>
            </w:r>
            <w:r>
              <w:rPr>
                <w:rFonts w:hint="eastAsia" w:ascii="仿宋_GB2312" w:hAnsi="仿宋_GB2312" w:eastAsia="仿宋_GB2312" w:cs="仿宋_GB2312"/>
                <w:color w:val="000000"/>
                <w:kern w:val="0"/>
                <w:lang w:val="en-US" w:eastAsia="zh-CN"/>
              </w:rPr>
              <w:t>预算控制数</w:t>
            </w:r>
            <w:bookmarkStart w:id="0" w:name="_GoBack"/>
            <w:bookmarkEnd w:id="0"/>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131.8114万元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仿宋_GB2312" w:eastAsia="仿宋_GB2312" w:cs="仿宋_GB2312"/>
                <w:kern w:val="0"/>
              </w:rPr>
            </w:pPr>
            <w:r>
              <w:rPr>
                <w:rFonts w:hint="eastAsia" w:ascii="仿宋_GB2312" w:hAnsi="仿宋_GB2312" w:eastAsia="仿宋_GB2312" w:cs="仿宋_GB2312"/>
                <w:kern w:val="0"/>
              </w:rPr>
              <w:t>129.0312万元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仿宋_GB2312"/>
                <w:color w:val="000000"/>
                <w:kern w:val="0"/>
                <w:lang w:bidi="ar"/>
              </w:rPr>
            </w:pPr>
            <w:r>
              <w:rPr>
                <w:rFonts w:hint="eastAsia" w:ascii="仿宋_GB2312" w:hAnsi="宋体" w:eastAsia="仿宋_GB2312" w:cs="仿宋_GB2312"/>
                <w:color w:val="000000"/>
                <w:kern w:val="0"/>
                <w:lang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经济效益</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示范点平均效益提高，节本增收</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5%以上，50万元。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6%，核心示范点总增收250万元。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1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社会效益</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完善高效设施专业化、社会化服务体系，带动专业化服务组织/企业发展，提高相关组织/企业收入</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完善高效设施专业化、社会化服务体系，带动专业化服务组织/企业发展，提高相关组织/企业收入</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建立高效设施专业化服务模式4套。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72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生态效益</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开展营养液检测反馈调节专业化服务模式探索，提高营养液回收利用率，形成水肥闭环管理，降低对环境的排放及污染；研究应用可降解吊蔓绳、安全高效消毒剂等，从源头控制农业生产产生的污染源，保护生态环境</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开展营养液检测反馈调节专业化服务模式探索，提高营养液回收利用率，形成水肥闭环管理，降低对环境的排放及污染；研究应用可降解吊蔓绳、安全高效消毒剂等，从源头控制农业生产产生的污染源，保护生态环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提高了水肥利用效率；引进示范可降解吊蔓绳，减少不可降解生产资料投入。</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指标量化程度有待加强</w:t>
            </w:r>
          </w:p>
        </w:tc>
      </w:tr>
      <w:tr>
        <w:tblPrEx>
          <w:tblCellMar>
            <w:top w:w="0" w:type="dxa"/>
            <w:left w:w="108" w:type="dxa"/>
            <w:bottom w:w="0" w:type="dxa"/>
            <w:right w:w="108" w:type="dxa"/>
          </w:tblCellMar>
        </w:tblPrEx>
        <w:trPr>
          <w:trHeight w:val="5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可持续影响指标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无</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4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满意度</w:t>
            </w:r>
          </w:p>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服务对象满意度标</w:t>
            </w:r>
          </w:p>
        </w:tc>
        <w:tc>
          <w:tcPr>
            <w:tcW w:w="198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示范点满意度</w:t>
            </w:r>
          </w:p>
        </w:tc>
        <w:tc>
          <w:tcPr>
            <w:tcW w:w="10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r>
              <w:rPr>
                <w:rFonts w:hint="eastAsia" w:ascii="仿宋_GB2312" w:hAnsi="仿宋_GB2312" w:eastAsia="仿宋_GB2312" w:cs="仿宋_GB2312"/>
                <w:kern w:val="0"/>
              </w:rPr>
              <w:t>98%</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rPr>
            </w:pPr>
            <w:r>
              <w:rPr>
                <w:rFonts w:hint="eastAsia" w:ascii="仿宋_GB2312" w:hAnsi="宋体" w:eastAsia="仿宋_GB2312" w:cs="仿宋_GB2312"/>
                <w:color w:val="000000"/>
                <w:kern w:val="0"/>
                <w:lang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98.79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212B3B"/>
    <w:rsid w:val="002B32C6"/>
    <w:rsid w:val="003518EE"/>
    <w:rsid w:val="00376B97"/>
    <w:rsid w:val="004C37F4"/>
    <w:rsid w:val="005E0B21"/>
    <w:rsid w:val="006462FD"/>
    <w:rsid w:val="0072070B"/>
    <w:rsid w:val="00832CDF"/>
    <w:rsid w:val="008F7B3D"/>
    <w:rsid w:val="00AF513F"/>
    <w:rsid w:val="00B452EA"/>
    <w:rsid w:val="00BC4D7D"/>
    <w:rsid w:val="00BC57BA"/>
    <w:rsid w:val="00C6637B"/>
    <w:rsid w:val="00D65E5D"/>
    <w:rsid w:val="00D7349D"/>
    <w:rsid w:val="00E53254"/>
    <w:rsid w:val="00F67A40"/>
    <w:rsid w:val="31E84196"/>
    <w:rsid w:val="36BB3A96"/>
    <w:rsid w:val="37173543"/>
    <w:rsid w:val="38862F61"/>
    <w:rsid w:val="39305164"/>
    <w:rsid w:val="3FF76880"/>
    <w:rsid w:val="48DE0FD9"/>
    <w:rsid w:val="4DFE13F0"/>
    <w:rsid w:val="6F407EE8"/>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Body Text 21"/>
    <w:basedOn w:val="1"/>
    <w:qFormat/>
    <w:uiPriority w:val="0"/>
    <w:pPr>
      <w:snapToGrid w:val="0"/>
      <w:spacing w:line="540" w:lineRule="exact"/>
    </w:pPr>
    <w:rPr>
      <w:rFonts w:eastAsia="方正仿宋_GBK"/>
      <w:color w:val="000000"/>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字符"/>
    <w:link w:val="3"/>
    <w:semiHidden/>
    <w:locked/>
    <w:uiPriority w:val="99"/>
    <w:rPr>
      <w:rFonts w:ascii="Cambria" w:hAnsi="Cambria" w:eastAsia="宋体" w:cs="Cambria"/>
      <w:b/>
      <w:bCs/>
      <w:sz w:val="32"/>
      <w:szCs w:val="32"/>
    </w:rPr>
  </w:style>
  <w:style w:type="character" w:customStyle="1" w:styleId="9">
    <w:name w:val="页脚 字符"/>
    <w:link w:val="4"/>
    <w:semiHidden/>
    <w:locked/>
    <w:uiPriority w:val="99"/>
    <w:rPr>
      <w:rFonts w:ascii="Times New Roman" w:hAnsi="Times New Roman" w:cs="Times New Roman"/>
      <w:sz w:val="18"/>
      <w:szCs w:val="18"/>
    </w:rPr>
  </w:style>
  <w:style w:type="character" w:customStyle="1" w:styleId="10">
    <w:name w:val="页眉 字符"/>
    <w:link w:val="5"/>
    <w:semiHidden/>
    <w:locked/>
    <w:uiPriority w:val="99"/>
    <w:rPr>
      <w:rFonts w:ascii="Times New Roman" w:hAnsi="Times New Roman" w:cs="Times New Roman"/>
      <w:sz w:val="18"/>
      <w:szCs w:val="18"/>
    </w:rPr>
  </w:style>
  <w:style w:type="paragraph" w:customStyle="1" w:styleId="11">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321</Words>
  <Characters>1834</Characters>
  <Lines>15</Lines>
  <Paragraphs>4</Paragraphs>
  <TotalTime>34</TotalTime>
  <ScaleCrop>false</ScaleCrop>
  <LinksUpToDate>false</LinksUpToDate>
  <CharactersWithSpaces>2151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WPS_1637295774</cp:lastModifiedBy>
  <cp:lastPrinted>2022-03-24T10:01:00Z</cp:lastPrinted>
  <dcterms:modified xsi:type="dcterms:W3CDTF">2022-05-27T10:21:32Z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8A83FB84FD1A41FEBC38C42C38D97F12</vt:lpwstr>
  </property>
</Properties>
</file>