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（2021</w:t>
      </w:r>
      <w:bookmarkStart w:id="0" w:name="_GoBack"/>
      <w:bookmarkEnd w:id="0"/>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1127"/>
        <w:gridCol w:w="116"/>
        <w:gridCol w:w="588"/>
        <w:gridCol w:w="62"/>
        <w:gridCol w:w="760"/>
        <w:gridCol w:w="24"/>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2021年种质资源普查项目</w:t>
            </w:r>
          </w:p>
        </w:tc>
      </w:tr>
      <w:tr>
        <w:tblPrEx>
          <w:tblCellMar>
            <w:top w:w="0" w:type="dxa"/>
            <w:left w:w="108" w:type="dxa"/>
            <w:bottom w:w="0" w:type="dxa"/>
            <w:right w:w="108" w:type="dxa"/>
          </w:tblCellMar>
        </w:tblPrEx>
        <w:trPr>
          <w:trHeight w:val="62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北京市水产技术推广站</w:t>
            </w:r>
          </w:p>
        </w:tc>
      </w:tr>
      <w:tr>
        <w:tblPrEx>
          <w:tblCellMar>
            <w:top w:w="0" w:type="dxa"/>
            <w:left w:w="108" w:type="dxa"/>
            <w:bottom w:w="0" w:type="dxa"/>
            <w:right w:w="108" w:type="dxa"/>
          </w:tblCellMar>
        </w:tblPrEx>
        <w:trPr>
          <w:trHeight w:val="7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曹爱英</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15001134201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FF0000"/>
                <w:kern w:val="0"/>
              </w:rPr>
            </w:pPr>
            <w:r>
              <w:rPr>
                <w:rFonts w:hint="eastAsia" w:ascii="仿宋_GB2312" w:hAnsi="??" w:eastAsia="仿宋_GB2312"/>
                <w:kern w:val="0"/>
              </w:rPr>
              <w:t>15.0921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97.34</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9.73</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15.0921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97.34</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完成对北京市所有涉农区水产养殖种质资源的基本情况普查。</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完成对北京市所有涉农区水产养殖种质资源的基本情况普查。</w:t>
            </w:r>
          </w:p>
        </w:tc>
      </w:tr>
      <w:tr>
        <w:tblPrEx>
          <w:tblCellMar>
            <w:top w:w="0" w:type="dxa"/>
            <w:left w:w="108" w:type="dxa"/>
            <w:bottom w:w="0" w:type="dxa"/>
            <w:right w:w="108" w:type="dxa"/>
          </w:tblCellMar>
        </w:tblPrEx>
        <w:trPr>
          <w:trHeight w:val="166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产出指标（50）</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涉及普查区县</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≥10个</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13</w:t>
            </w:r>
            <w:r>
              <w:rPr>
                <w:rFonts w:hint="eastAsia" w:ascii="仿宋_GB2312" w:hAnsi="??" w:eastAsia="仿宋_GB2312" w:cs="仿宋_GB2312"/>
                <w:kern w:val="0"/>
                <w:lang w:val="en-US" w:eastAsia="zh-CN"/>
              </w:rPr>
              <w:t>个</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w:t>
            </w:r>
            <w:r>
              <w:rPr>
                <w:rFonts w:hint="eastAsia" w:ascii="仿宋_GB2312" w:hAnsi="??" w:eastAsia="仿宋_GB2312" w:cs="仿宋_GB2312"/>
                <w:kern w:val="0"/>
                <w:lang w:val="en-US" w:eastAsia="zh-CN"/>
              </w:rPr>
              <w:t>份</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w:t>
            </w:r>
            <w:r>
              <w:rPr>
                <w:rFonts w:hint="eastAsia" w:ascii="仿宋_GB2312" w:hAnsi="??" w:eastAsia="仿宋_GB2312" w:cs="仿宋_GB2312"/>
                <w:kern w:val="0"/>
                <w:lang w:val="en-US" w:eastAsia="zh-CN"/>
              </w:rPr>
              <w:t>份</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9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涉农区县覆盖率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100%</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100%</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2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完成种质资源基本情况普查培训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7月底前</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7月29日开展了全市的普查培训</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3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完成全市的水产养殖种质资源基本情况普查任务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12月底前</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12月30日完成全市水产养殖种质资源基本情况普查任务</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2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kern w:val="0"/>
              </w:rPr>
              <w:t>15.505</w:t>
            </w:r>
            <w:r>
              <w:rPr>
                <w:rFonts w:hint="eastAsia" w:ascii="仿宋_GB2312" w:hAnsi="??" w:eastAsia="仿宋_GB2312" w:cs="仿宋_GB2312"/>
                <w:kern w:val="0"/>
              </w:rPr>
              <w:t>万元</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kern w:val="0"/>
              </w:rPr>
              <w:t>15.0921</w:t>
            </w:r>
            <w:r>
              <w:rPr>
                <w:rFonts w:hint="eastAsia" w:ascii="仿宋_GB2312" w:hAnsi="??" w:eastAsia="仿宋_GB2312" w:cs="仿宋_GB2312"/>
                <w:kern w:val="0"/>
              </w:rPr>
              <w:t>万元</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w:t>
            </w:r>
            <w:r>
              <w:rPr>
                <w:rFonts w:hint="eastAsia" w:ascii="仿宋_GB2312" w:hAnsi="??" w:eastAsia="仿宋_GB2312" w:cs="仿宋_GB2312"/>
                <w:kern w:val="0"/>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w:t>
            </w:r>
            <w:r>
              <w:rPr>
                <w:rFonts w:hint="eastAsia" w:ascii="仿宋_GB2312" w:hAnsi="??" w:eastAsia="仿宋_GB2312" w:cs="仿宋_GB2312"/>
                <w:kern w:val="0"/>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效益指标（30）</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经济效益指标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60"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4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社会效益指标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摸清全市</w:t>
            </w:r>
            <w:r>
              <w:rPr>
                <w:rFonts w:hint="eastAsia" w:ascii="仿宋_GB2312" w:hAnsi="??" w:eastAsia="仿宋_GB2312" w:cs="仿宋_GB2312"/>
                <w:kern w:val="0"/>
              </w:rPr>
              <w:t>水产养殖种质资源基本情况</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优</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优</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76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14.5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效益指标量化程度不足</w:t>
            </w:r>
          </w:p>
        </w:tc>
      </w:tr>
      <w:tr>
        <w:tblPrEx>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生态效益指标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60"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31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对本行业未来可持续发展的影响：为未来北京市水产种业发展提供政策依据。</w:t>
            </w:r>
          </w:p>
        </w:tc>
        <w:tc>
          <w:tcPr>
            <w:tcW w:w="849"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≥3年</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首次摸清北京市的水产养殖种质资源状况，对于未来北京市水产种业及水产养殖业的健康发展具有重要指导意义。</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76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14.5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效益资料归集不充分</w:t>
            </w:r>
          </w:p>
        </w:tc>
      </w:tr>
      <w:tr>
        <w:tblPrEx>
          <w:tblCellMar>
            <w:top w:w="0" w:type="dxa"/>
            <w:left w:w="108" w:type="dxa"/>
            <w:bottom w:w="0" w:type="dxa"/>
            <w:right w:w="108" w:type="dxa"/>
          </w:tblCellMar>
        </w:tblPrEx>
        <w:trPr>
          <w:trHeight w:val="17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指标（10）</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报告使用者满意度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≥90%</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对报告征求专家意见，专家满意。另外，报告使用者表示满意。</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满意度资料归集不充分</w:t>
            </w:r>
          </w:p>
        </w:tc>
      </w:tr>
      <w:tr>
        <w:tblPrEx>
          <w:tblCellMar>
            <w:top w:w="0" w:type="dxa"/>
            <w:left w:w="108" w:type="dxa"/>
            <w:bottom w:w="0" w:type="dxa"/>
            <w:right w:w="108" w:type="dxa"/>
          </w:tblCellMar>
        </w:tblPrEx>
        <w:trPr>
          <w:trHeight w:val="477" w:hRule="exact"/>
          <w:jc w:val="center"/>
        </w:trPr>
        <w:tc>
          <w:tcPr>
            <w:tcW w:w="6894"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总分</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97.73</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ThkYWExMzlhOWFkYmZiZTNjZjJkMDNiNDkxOTU1OGUifQ=="/>
  </w:docVars>
  <w:rsids>
    <w:rsidRoot w:val="F77F09F4"/>
    <w:rsid w:val="00212B3B"/>
    <w:rsid w:val="002E67FB"/>
    <w:rsid w:val="003518EE"/>
    <w:rsid w:val="003D09E9"/>
    <w:rsid w:val="004C37F4"/>
    <w:rsid w:val="00537230"/>
    <w:rsid w:val="00547EE5"/>
    <w:rsid w:val="006462FD"/>
    <w:rsid w:val="008724FE"/>
    <w:rsid w:val="008F7B3D"/>
    <w:rsid w:val="00AA27D3"/>
    <w:rsid w:val="00AF513F"/>
    <w:rsid w:val="00BC4D7D"/>
    <w:rsid w:val="00C6637B"/>
    <w:rsid w:val="00D65E5D"/>
    <w:rsid w:val="00D7349D"/>
    <w:rsid w:val="00E53254"/>
    <w:rsid w:val="00F67A40"/>
    <w:rsid w:val="00FA1D37"/>
    <w:rsid w:val="04DA0DB9"/>
    <w:rsid w:val="062A1835"/>
    <w:rsid w:val="085A7951"/>
    <w:rsid w:val="0A5339E9"/>
    <w:rsid w:val="0FF105C5"/>
    <w:rsid w:val="12823ED3"/>
    <w:rsid w:val="205F10E8"/>
    <w:rsid w:val="269453BF"/>
    <w:rsid w:val="37173543"/>
    <w:rsid w:val="3FF76880"/>
    <w:rsid w:val="42DA2798"/>
    <w:rsid w:val="45F30266"/>
    <w:rsid w:val="54D24E6E"/>
    <w:rsid w:val="5DF6C255"/>
    <w:rsid w:val="651A4BF2"/>
    <w:rsid w:val="678F190A"/>
    <w:rsid w:val="77FB382C"/>
    <w:rsid w:val="7991417A"/>
    <w:rsid w:val="7AB7FF50"/>
    <w:rsid w:val="7B151FE2"/>
    <w:rsid w:val="7BFEB0DB"/>
    <w:rsid w:val="7E6F1B7D"/>
    <w:rsid w:val="BDBFE8CA"/>
    <w:rsid w:val="CEFD3F3D"/>
    <w:rsid w:val="EA3F77F2"/>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link w:val="2"/>
    <w:semiHidden/>
    <w:qFormat/>
    <w:locked/>
    <w:uiPriority w:val="99"/>
    <w:rPr>
      <w:rFonts w:ascii="Cambria" w:hAnsi="Cambria" w:eastAsia="宋体" w:cs="Cambria"/>
      <w:b/>
      <w:bCs/>
      <w:sz w:val="32"/>
      <w:szCs w:val="32"/>
    </w:rPr>
  </w:style>
  <w:style w:type="character" w:customStyle="1" w:styleId="9">
    <w:name w:val="页脚 Char"/>
    <w:link w:val="4"/>
    <w:semiHidden/>
    <w:qFormat/>
    <w:locked/>
    <w:uiPriority w:val="99"/>
    <w:rPr>
      <w:rFonts w:ascii="Times New Roman" w:hAnsi="Times New Roman" w:cs="Times New Roman"/>
      <w:sz w:val="18"/>
      <w:szCs w:val="18"/>
    </w:rPr>
  </w:style>
  <w:style w:type="character" w:customStyle="1" w:styleId="10">
    <w:name w:val="页眉 Char"/>
    <w:link w:val="5"/>
    <w:semiHidden/>
    <w:qFormat/>
    <w:locked/>
    <w:uiPriority w:val="99"/>
    <w:rPr>
      <w:rFonts w:ascii="Times New Roman" w:hAnsi="Times New Roman" w:cs="Times New Roman"/>
      <w:sz w:val="18"/>
      <w:szCs w:val="18"/>
    </w:rPr>
  </w:style>
  <w:style w:type="paragraph" w:customStyle="1" w:styleId="11">
    <w:name w:val="列出段落1"/>
    <w:basedOn w:val="1"/>
    <w:qFormat/>
    <w:uiPriority w:val="99"/>
    <w:pPr>
      <w:ind w:firstLine="420" w:firstLineChars="200"/>
    </w:pPr>
    <w:rPr>
      <w:rFonts w:ascii="Calibri" w:hAnsi="Calibri" w:cs="Calibri"/>
    </w:rPr>
  </w:style>
  <w:style w:type="character" w:customStyle="1" w:styleId="12">
    <w:name w:val="font0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654</Words>
  <Characters>765</Characters>
  <Lines>5</Lines>
  <Paragraphs>1</Paragraphs>
  <TotalTime>5</TotalTime>
  <ScaleCrop>false</ScaleCrop>
  <LinksUpToDate>false</LinksUpToDate>
  <CharactersWithSpaces>765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&amp;</cp:lastModifiedBy>
  <cp:lastPrinted>2022-05-24T20:56:00Z</cp:lastPrinted>
  <dcterms:modified xsi:type="dcterms:W3CDTF">2022-06-02T01:43:00Z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73E11E93CA6C48E48CACB10C0443C1F2</vt:lpwstr>
  </property>
</Properties>
</file>