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897"/>
        <w:gridCol w:w="1095"/>
        <w:gridCol w:w="815"/>
        <w:gridCol w:w="1127"/>
        <w:gridCol w:w="68"/>
        <w:gridCol w:w="1050"/>
        <w:gridCol w:w="1320"/>
        <w:gridCol w:w="585"/>
        <w:gridCol w:w="690"/>
        <w:gridCol w:w="96"/>
        <w:gridCol w:w="710"/>
      </w:tblGrid>
      <w:tr>
        <w:tblPrEx>
          <w:tblCellMar>
            <w:top w:w="0" w:type="dxa"/>
            <w:left w:w="108" w:type="dxa"/>
            <w:bottom w:w="0" w:type="dxa"/>
            <w:right w:w="108" w:type="dxa"/>
          </w:tblCellMar>
        </w:tblPrEx>
        <w:trPr>
          <w:trHeight w:val="306" w:hRule="exact"/>
          <w:jc w:val="center"/>
        </w:trPr>
        <w:tc>
          <w:tcPr>
            <w:tcW w:w="148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556"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2021年局幼儿园改造项目设计费</w:t>
            </w:r>
          </w:p>
        </w:tc>
      </w:tr>
      <w:tr>
        <w:tblPrEx>
          <w:tblCellMar>
            <w:top w:w="0" w:type="dxa"/>
            <w:left w:w="108" w:type="dxa"/>
            <w:bottom w:w="0" w:type="dxa"/>
            <w:right w:w="108" w:type="dxa"/>
          </w:tblCellMar>
        </w:tblPrEx>
        <w:trPr>
          <w:trHeight w:val="426" w:hRule="exact"/>
          <w:jc w:val="center"/>
        </w:trPr>
        <w:tc>
          <w:tcPr>
            <w:tcW w:w="148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08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yellow"/>
              </w:rPr>
            </w:pPr>
            <w:r>
              <w:rPr>
                <w:rFonts w:hint="eastAsia" w:ascii="仿宋_GB2312" w:hAnsi="??" w:eastAsia="仿宋_GB2312"/>
                <w:kern w:val="0"/>
                <w:highlight w:val="none"/>
              </w:rPr>
              <w:t>北京市农业农村局幼儿园</w:t>
            </w:r>
          </w:p>
        </w:tc>
      </w:tr>
      <w:tr>
        <w:tblPrEx>
          <w:tblCellMar>
            <w:top w:w="0" w:type="dxa"/>
            <w:left w:w="108" w:type="dxa"/>
            <w:bottom w:w="0" w:type="dxa"/>
            <w:right w:w="108" w:type="dxa"/>
          </w:tblCellMar>
        </w:tblPrEx>
        <w:trPr>
          <w:trHeight w:val="306" w:hRule="exact"/>
          <w:jc w:val="center"/>
        </w:trPr>
        <w:tc>
          <w:tcPr>
            <w:tcW w:w="148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田茂军</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08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82078486</w:t>
            </w:r>
          </w:p>
        </w:tc>
      </w:tr>
      <w:tr>
        <w:tblPrEx>
          <w:tblCellMar>
            <w:top w:w="0" w:type="dxa"/>
            <w:left w:w="108" w:type="dxa"/>
            <w:bottom w:w="0" w:type="dxa"/>
            <w:right w:w="108" w:type="dxa"/>
          </w:tblCellMar>
        </w:tblPrEx>
        <w:trPr>
          <w:trHeight w:val="567" w:hRule="exact"/>
          <w:jc w:val="center"/>
        </w:trPr>
        <w:tc>
          <w:tcPr>
            <w:tcW w:w="148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4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highlight w:val="none"/>
                <w:lang w:val="en-US" w:eastAsia="zh-CN"/>
              </w:rPr>
            </w:pPr>
            <w:r>
              <w:rPr>
                <w:rFonts w:hint="eastAsia" w:ascii="仿宋_GB2312" w:hAnsi="??" w:eastAsia="仿宋_GB2312"/>
                <w:kern w:val="0"/>
                <w:highlight w:val="none"/>
                <w:lang w:val="en-US" w:eastAsia="zh-CN"/>
              </w:rPr>
              <w:t>45</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4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highlight w:val="none"/>
                <w:lang w:val="en-US" w:eastAsia="zh-CN"/>
              </w:rPr>
            </w:pPr>
            <w:r>
              <w:rPr>
                <w:rFonts w:hint="eastAsia" w:ascii="仿宋_GB2312" w:hAnsi="??" w:eastAsia="仿宋_GB2312"/>
                <w:kern w:val="0"/>
                <w:highlight w:val="none"/>
                <w:lang w:val="en-US" w:eastAsia="zh-CN"/>
              </w:rPr>
              <w:t>45</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4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4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58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5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40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7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5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对北京市农业农村局幼儿园进行改造方案设计、施工图设计、配合现场施工、参与竣工验收。</w:t>
            </w:r>
            <w:r>
              <w:rPr>
                <w:rFonts w:hint="eastAsia" w:ascii="仿宋_GB2312" w:hAnsi="??" w:eastAsia="仿宋_GB2312"/>
                <w:kern w:val="0"/>
              </w:rPr>
              <w:t>包括：1、室内设计；2、室外设计；3、活动场地和景观设计。施工单位确定后，设计技术交底，施工现场技术答疑，施工现场技术指导，根据现场合理的施工要求对设计进行调整变更，解决实施过程中发现、发生的相关问题；协助审核确认承包商提交的材料样板。施工过程中，参加现场设计技术协调会和必要的联席会、工程例会；参加隐蔽工程验收、阶段性验收和各系统的调试、验收；参加工程竣工验收。经测算，进行图纸设计需设计费约45万元。</w:t>
            </w:r>
          </w:p>
        </w:tc>
        <w:tc>
          <w:tcPr>
            <w:tcW w:w="340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除需要现场施工及竣工验收后评价外，其余已完成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8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0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指标1：</w:t>
            </w:r>
            <w:r>
              <w:rPr>
                <w:rFonts w:hint="eastAsia" w:ascii="仿宋_GB2312" w:hAnsi="??" w:eastAsia="仿宋_GB2312"/>
                <w:kern w:val="0"/>
                <w:lang w:val="en-US" w:eastAsia="zh-CN"/>
              </w:rPr>
              <w:t>设计内容（项）</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09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w:t>
            </w:r>
            <w:r>
              <w:rPr>
                <w:rFonts w:hint="eastAsia" w:ascii="仿宋_GB2312" w:hAnsi="??" w:eastAsia="仿宋_GB2312"/>
                <w:kern w:val="0"/>
                <w:lang w:val="en-US" w:eastAsia="zh-CN"/>
              </w:rPr>
              <w:t>2：室内面积</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≥1800平米</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2306.5平米</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09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w:t>
            </w:r>
            <w:r>
              <w:rPr>
                <w:rFonts w:hint="eastAsia" w:ascii="仿宋_GB2312" w:hAnsi="??" w:eastAsia="仿宋_GB2312"/>
                <w:kern w:val="0"/>
                <w:lang w:val="en-US" w:eastAsia="zh-CN"/>
              </w:rPr>
              <w:t>3：室外面积</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≥1600平米</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1599平米</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4.99</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指标1：</w:t>
            </w:r>
            <w:r>
              <w:rPr>
                <w:rFonts w:hint="eastAsia" w:ascii="仿宋_GB2312" w:hAnsi="??" w:eastAsia="仿宋_GB2312"/>
                <w:kern w:val="0"/>
                <w:lang w:val="en-US" w:eastAsia="zh-CN"/>
              </w:rPr>
              <w:t>完成方案图纸</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合格</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合格</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5</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w:t>
            </w:r>
            <w:r>
              <w:rPr>
                <w:rFonts w:hint="eastAsia" w:ascii="仿宋_GB2312" w:hAnsi="??" w:eastAsia="仿宋_GB2312"/>
                <w:kern w:val="0"/>
                <w:lang w:val="en-US" w:eastAsia="zh-CN"/>
              </w:rPr>
              <w:t>2</w:t>
            </w:r>
            <w:r>
              <w:rPr>
                <w:rFonts w:hint="eastAsia" w:ascii="仿宋_GB2312" w:hAnsi="??" w:eastAsia="仿宋_GB2312"/>
                <w:kern w:val="0"/>
              </w:rPr>
              <w:t>：</w:t>
            </w:r>
            <w:r>
              <w:rPr>
                <w:rFonts w:hint="eastAsia" w:ascii="仿宋_GB2312" w:hAnsi="??" w:eastAsia="仿宋_GB2312"/>
                <w:kern w:val="0"/>
                <w:lang w:val="en-US" w:eastAsia="zh-CN"/>
              </w:rPr>
              <w:t>完成施工图纸</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合格</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合格</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80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60" w:lineRule="exact"/>
              <w:ind w:left="-105" w:leftChars="-50" w:right="-105" w:rightChars="-50"/>
              <w:jc w:val="center"/>
              <w:textAlignment w:val="auto"/>
              <w:rPr>
                <w:rFonts w:hint="eastAsia" w:ascii="仿宋_GB2312" w:hAnsi="??" w:eastAsia="仿宋_GB2312"/>
                <w:kern w:val="0"/>
                <w:sz w:val="15"/>
                <w:szCs w:val="15"/>
                <w:lang w:val="en-US" w:eastAsia="zh-CN"/>
              </w:rPr>
            </w:pPr>
          </w:p>
        </w:tc>
      </w:tr>
      <w:tr>
        <w:tblPrEx>
          <w:tblCellMar>
            <w:top w:w="0" w:type="dxa"/>
            <w:left w:w="108" w:type="dxa"/>
            <w:bottom w:w="0" w:type="dxa"/>
            <w:right w:w="108" w:type="dxa"/>
          </w:tblCellMar>
        </w:tblPrEx>
        <w:trPr>
          <w:trHeight w:val="4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rPr>
              <w:t>指标</w:t>
            </w:r>
            <w:r>
              <w:rPr>
                <w:rFonts w:hint="eastAsia" w:ascii="仿宋_GB2312" w:hAnsi="??" w:eastAsia="仿宋_GB2312"/>
                <w:kern w:val="0"/>
                <w:lang w:val="en-US" w:eastAsia="zh-CN"/>
              </w:rPr>
              <w:t>3</w:t>
            </w:r>
            <w:r>
              <w:rPr>
                <w:rFonts w:hint="eastAsia" w:ascii="仿宋_GB2312" w:hAnsi="??" w:eastAsia="仿宋_GB2312"/>
                <w:kern w:val="0"/>
              </w:rPr>
              <w:t>：</w:t>
            </w:r>
            <w:r>
              <w:rPr>
                <w:rFonts w:hint="eastAsia" w:ascii="仿宋_GB2312" w:hAnsi="??" w:eastAsia="仿宋_GB2312"/>
                <w:kern w:val="0"/>
                <w:lang w:val="en-US" w:eastAsia="zh-CN"/>
              </w:rPr>
              <w:t>完成施工图纸审核</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highlight w:val="none"/>
                <w:lang w:val="en-US" w:eastAsia="zh-CN"/>
              </w:rPr>
            </w:pPr>
            <w:r>
              <w:rPr>
                <w:rFonts w:hint="eastAsia" w:ascii="仿宋_GB2312" w:hAnsi="??" w:eastAsia="仿宋_GB2312"/>
                <w:kern w:val="0"/>
                <w:highlight w:val="none"/>
                <w:lang w:val="en-US" w:eastAsia="zh-CN"/>
              </w:rPr>
              <w:t>合格</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highlight w:val="none"/>
                <w:lang w:val="en-US" w:eastAsia="zh-CN"/>
              </w:rPr>
            </w:pPr>
            <w:r>
              <w:rPr>
                <w:rFonts w:hint="eastAsia" w:ascii="仿宋_GB2312" w:hAnsi="??" w:eastAsia="仿宋_GB2312"/>
                <w:kern w:val="0"/>
                <w:highlight w:val="none"/>
                <w:lang w:val="en-US" w:eastAsia="zh-CN"/>
              </w:rPr>
              <w:t>未完成</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w:t>
            </w:r>
          </w:p>
        </w:tc>
        <w:tc>
          <w:tcPr>
            <w:tcW w:w="80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60" w:lineRule="exact"/>
              <w:ind w:left="-105" w:leftChars="-50" w:right="-105" w:rightChars="-50"/>
              <w:jc w:val="center"/>
              <w:textAlignment w:val="auto"/>
              <w:rPr>
                <w:rFonts w:hint="eastAsia" w:ascii="仿宋_GB2312" w:hAnsi="??" w:eastAsia="仿宋_GB2312"/>
                <w:kern w:val="0"/>
                <w:sz w:val="15"/>
                <w:szCs w:val="15"/>
                <w:lang w:val="en-US" w:eastAsia="zh-CN"/>
              </w:rPr>
            </w:pPr>
          </w:p>
        </w:tc>
      </w:tr>
      <w:tr>
        <w:tblPrEx>
          <w:tblCellMar>
            <w:top w:w="0" w:type="dxa"/>
            <w:left w:w="108" w:type="dxa"/>
            <w:bottom w:w="0" w:type="dxa"/>
            <w:right w:w="108" w:type="dxa"/>
          </w:tblCellMar>
        </w:tblPrEx>
        <w:trPr>
          <w:trHeight w:val="4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指标1：</w:t>
            </w:r>
            <w:r>
              <w:rPr>
                <w:rFonts w:hint="eastAsia" w:ascii="仿宋_GB2312" w:hAnsi="??" w:eastAsia="仿宋_GB2312"/>
                <w:kern w:val="0"/>
                <w:lang w:val="en-US" w:eastAsia="zh-CN"/>
              </w:rPr>
              <w:t>完成时间</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2022年5月前完成</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2022年5月</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10</w:t>
            </w:r>
          </w:p>
        </w:tc>
        <w:tc>
          <w:tcPr>
            <w:tcW w:w="80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60" w:lineRule="exact"/>
              <w:ind w:left="-105" w:leftChars="-50" w:right="-105" w:rightChars="-50"/>
              <w:jc w:val="center"/>
              <w:textAlignment w:val="auto"/>
              <w:rPr>
                <w:rFonts w:hint="eastAsia" w:ascii="仿宋_GB2312" w:hAnsi="??" w:eastAsia="仿宋_GB2312"/>
                <w:kern w:val="0"/>
                <w:sz w:val="15"/>
                <w:szCs w:val="15"/>
                <w:lang w:val="en-US" w:eastAsia="zh-CN"/>
              </w:rPr>
            </w:pPr>
          </w:p>
        </w:tc>
      </w:tr>
      <w:tr>
        <w:tblPrEx>
          <w:tblCellMar>
            <w:top w:w="0" w:type="dxa"/>
            <w:left w:w="108" w:type="dxa"/>
            <w:bottom w:w="0" w:type="dxa"/>
            <w:right w:w="108" w:type="dxa"/>
          </w:tblCellMar>
        </w:tblPrEx>
        <w:trPr>
          <w:trHeight w:val="12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指标1：</w:t>
            </w:r>
            <w:r>
              <w:rPr>
                <w:rFonts w:hint="eastAsia" w:ascii="仿宋_GB2312" w:hAnsi="??" w:eastAsia="仿宋_GB2312"/>
                <w:kern w:val="0"/>
                <w:lang w:val="en-US" w:eastAsia="zh-CN"/>
              </w:rPr>
              <w:t>设计费用</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≤45万元</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highlight w:val="none"/>
                <w:lang w:val="en-US" w:eastAsia="zh-CN"/>
              </w:rPr>
              <w:t>45万元</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截至2022年3月31日支出</w:t>
            </w:r>
          </w:p>
        </w:tc>
      </w:tr>
      <w:tr>
        <w:tblPrEx>
          <w:tblCellMar>
            <w:top w:w="0" w:type="dxa"/>
            <w:left w:w="108" w:type="dxa"/>
            <w:bottom w:w="0" w:type="dxa"/>
            <w:right w:w="108" w:type="dxa"/>
          </w:tblCellMar>
        </w:tblPrEx>
        <w:trPr>
          <w:trHeight w:val="36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指标1：为北京市农业农村局职工下一代健康成长和解决周边群众的入托难问题，提高幼儿园的办园水平和影响力</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为北京市农业农村局职工下一代健康成长和解决周边群众的入托难问题，提高幼儿园的办园水平和影响力</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为北京市农业农村局职工下一代健康成长和解决周边群众的入托难问题，提高幼儿园的办园水平和影响力</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社会效益资料归集不充分</w:t>
            </w:r>
          </w:p>
        </w:tc>
      </w:tr>
      <w:tr>
        <w:tblPrEx>
          <w:tblCellMar>
            <w:top w:w="0" w:type="dxa"/>
            <w:left w:w="108" w:type="dxa"/>
            <w:bottom w:w="0" w:type="dxa"/>
            <w:right w:w="108" w:type="dxa"/>
          </w:tblCellMar>
        </w:tblPrEx>
        <w:trPr>
          <w:trHeight w:val="16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指标1：达到环境优美舒适，适合幼儿学习生活及活动。</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达到环境优美舒适，适合幼儿学习生</w:t>
            </w:r>
            <w:bookmarkStart w:id="0" w:name="_GoBack"/>
            <w:bookmarkEnd w:id="0"/>
            <w:r>
              <w:rPr>
                <w:rFonts w:hint="eastAsia" w:ascii="仿宋_GB2312" w:hAnsi="??" w:eastAsia="仿宋_GB2312"/>
                <w:kern w:val="0"/>
                <w:lang w:val="en-US" w:eastAsia="zh-CN"/>
              </w:rPr>
              <w:t>活及活动。</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达到环境优美舒适，适合幼儿学习生活及活动。</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r>
      <w:tr>
        <w:tblPrEx>
          <w:tblCellMar>
            <w:top w:w="0" w:type="dxa"/>
            <w:left w:w="108" w:type="dxa"/>
            <w:bottom w:w="0" w:type="dxa"/>
            <w:right w:w="108" w:type="dxa"/>
          </w:tblCellMar>
        </w:tblPrEx>
        <w:trPr>
          <w:trHeight w:val="6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0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指标1：幼儿园设计满意度</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≥95</w:t>
            </w:r>
          </w:p>
        </w:tc>
        <w:tc>
          <w:tcPr>
            <w:tcW w:w="13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97</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r>
      <w:tr>
        <w:tblPrEx>
          <w:tblCellMar>
            <w:top w:w="0" w:type="dxa"/>
            <w:left w:w="108" w:type="dxa"/>
            <w:bottom w:w="0" w:type="dxa"/>
            <w:right w:w="108" w:type="dxa"/>
          </w:tblCellMar>
        </w:tblPrEx>
        <w:trPr>
          <w:trHeight w:val="477" w:hRule="exact"/>
          <w:jc w:val="center"/>
        </w:trPr>
        <w:tc>
          <w:tcPr>
            <w:tcW w:w="695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总分</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92.99</w:t>
            </w:r>
          </w:p>
        </w:tc>
        <w:tc>
          <w:tcPr>
            <w:tcW w:w="8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xOTMxYzk4NDYzNTVkNTY1MDk3ZDc3ZTFkNGUzMDg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83107BD"/>
    <w:rsid w:val="1EC773DC"/>
    <w:rsid w:val="37173543"/>
    <w:rsid w:val="38AE77BA"/>
    <w:rsid w:val="39F32E64"/>
    <w:rsid w:val="3B617058"/>
    <w:rsid w:val="3D326ADB"/>
    <w:rsid w:val="3FF76880"/>
    <w:rsid w:val="4D7C1ACD"/>
    <w:rsid w:val="561C0062"/>
    <w:rsid w:val="576A6C1F"/>
    <w:rsid w:val="59B612D7"/>
    <w:rsid w:val="72843DD1"/>
    <w:rsid w:val="740A65C6"/>
    <w:rsid w:val="7AB7FF50"/>
    <w:rsid w:val="7BFEB0DB"/>
    <w:rsid w:val="7E885F05"/>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1230</Words>
  <Characters>1356</Characters>
  <Lines>1</Lines>
  <Paragraphs>1</Paragraphs>
  <TotalTime>9</TotalTime>
  <ScaleCrop>false</ScaleCrop>
  <LinksUpToDate>false</LinksUpToDate>
  <CharactersWithSpaces>1393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波泼摸坲</cp:lastModifiedBy>
  <cp:lastPrinted>2022-03-24T10:01:00Z</cp:lastPrinted>
  <dcterms:modified xsi:type="dcterms:W3CDTF">2022-06-01T03:31:55Z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808DC5D09C6640AF8506BA9B13810D8C</vt:lpwstr>
  </property>
</Properties>
</file>