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480" w:lineRule="exact"/>
        <w:jc w:val="both"/>
        <w:textAlignment w:val="baseline"/>
        <w:rPr>
          <w:rFonts w:ascii="方正黑体_GBK" w:hAnsi="方正黑体_GBK" w:eastAsia="方正黑体_GBK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i w:val="0"/>
          <w:caps w:val="0"/>
          <w:spacing w:val="0"/>
          <w:w w:val="100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b w:val="0"/>
          <w:i w:val="0"/>
          <w:caps w:val="0"/>
          <w:spacing w:val="0"/>
          <w:w w:val="100"/>
          <w:sz w:val="32"/>
          <w:szCs w:val="32"/>
        </w:rPr>
        <w:t>2</w:t>
      </w:r>
    </w:p>
    <w:p>
      <w:pPr>
        <w:snapToGrid/>
        <w:spacing w:before="0" w:beforeAutospacing="0" w:after="0" w:afterAutospacing="0" w:line="480" w:lineRule="exact"/>
        <w:jc w:val="center"/>
        <w:textAlignment w:val="baseline"/>
        <w:rPr>
          <w:rFonts w:ascii="方正小标宋简体" w:hAnsi="黑体" w:eastAsia="方正小标宋简体"/>
          <w:b w:val="0"/>
          <w:i w:val="0"/>
          <w:caps w:val="0"/>
          <w:spacing w:val="0"/>
          <w:w w:val="100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b w:val="0"/>
          <w:i w:val="0"/>
          <w:caps w:val="0"/>
          <w:spacing w:val="0"/>
          <w:w w:val="100"/>
          <w:sz w:val="36"/>
          <w:szCs w:val="36"/>
        </w:rPr>
        <w:t>项目支出绩效自评表</w:t>
      </w:r>
    </w:p>
    <w:p>
      <w:pPr>
        <w:snapToGrid/>
        <w:spacing w:before="0" w:beforeAutospacing="0" w:after="0" w:afterAutospacing="0" w:line="480" w:lineRule="exact"/>
        <w:jc w:val="both"/>
        <w:textAlignment w:val="baseline"/>
        <w:rPr>
          <w:rFonts w:ascii="仿宋_GB2312" w:hAnsi="??" w:eastAsia="仿宋_GB2312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ascii="仿宋_GB2312" w:eastAsia="仿宋_GB2312" w:cs="仿宋_GB2312"/>
          <w:b w:val="0"/>
          <w:i w:val="0"/>
          <w:caps w:val="0"/>
          <w:spacing w:val="0"/>
          <w:w w:val="100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b w:val="0"/>
          <w:i w:val="0"/>
          <w:caps w:val="0"/>
          <w:spacing w:val="0"/>
          <w:w w:val="100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b w:val="0"/>
          <w:i w:val="0"/>
          <w:caps w:val="0"/>
          <w:spacing w:val="0"/>
          <w:w w:val="100"/>
          <w:sz w:val="28"/>
          <w:szCs w:val="28"/>
        </w:rPr>
        <w:t>（</w:t>
      </w:r>
      <w:r>
        <w:rPr>
          <w:rFonts w:ascii="仿宋_GB2312" w:hAnsi="??" w:eastAsia="仿宋_GB2312" w:cs="仿宋_GB2312"/>
          <w:b w:val="0"/>
          <w:i w:val="0"/>
          <w:caps w:val="0"/>
          <w:spacing w:val="0"/>
          <w:w w:val="100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b w:val="0"/>
          <w:i w:val="0"/>
          <w:caps w:val="0"/>
          <w:spacing w:val="0"/>
          <w:w w:val="100"/>
          <w:sz w:val="28"/>
          <w:szCs w:val="28"/>
        </w:rPr>
        <w:t>年度）</w:t>
      </w:r>
    </w:p>
    <w:p>
      <w:pPr>
        <w:snapToGrid/>
        <w:spacing w:before="0" w:beforeAutospacing="0" w:after="0" w:afterAutospacing="0" w:line="240" w:lineRule="exact"/>
        <w:jc w:val="both"/>
        <w:textAlignment w:val="baseline"/>
        <w:rPr>
          <w:rFonts w:ascii="仿宋_GB2312" w:hAnsi="??" w:eastAsia="仿宋_GB2312"/>
          <w:b w:val="0"/>
          <w:i w:val="0"/>
          <w:caps w:val="0"/>
          <w:spacing w:val="0"/>
          <w:w w:val="100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2021年北京市农村能源设施安全监管及新技术试验示范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北京市优质农产品产销服务站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谭永旺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010-64934835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项目资金</w:t>
            </w:r>
            <w:r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年初预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全年预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全年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both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85.04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79.4882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77.992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98.12%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9.81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其中：当年财政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85.04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79.4882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77.992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ascii="仿宋_GB2312" w:hAnsi="??" w:eastAsia="仿宋_GB2312" w:cs="??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98.12%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ascii="仿宋_GB2312" w:hAnsi="??" w:eastAsia="仿宋_GB2312" w:cs="??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ascii="仿宋_GB2312" w:hAnsi="??" w:eastAsia="仿宋_GB2312" w:cs="??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ascii="仿宋_GB2312" w:hAnsi="??" w:eastAsia="仿宋_GB2312" w:cs="??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ascii="仿宋_GB2312" w:hAnsi="??" w:eastAsia="仿宋_GB2312" w:cs="??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ascii="仿宋_GB2312" w:hAnsi="??" w:eastAsia="仿宋_GB2312" w:cs="??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both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 xml:space="preserve">年度目标： </w:t>
            </w:r>
          </w:p>
          <w:p>
            <w:pPr>
              <w:widowControl/>
              <w:numPr>
                <w:ilvl w:val="0"/>
                <w:numId w:val="1"/>
              </w:numPr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通过安全宣传，让广大农民认识理解农村能源安全知识，在生活中减少人员伤害情况发生；            2、通过安全培训，使农村能源设施管理操作人员进一步掌握安全操作技能、提升安全管理理念，确保设施安全稳定运行；                                  3、通过巡查巡视，可发现安全隐患和问题，明确整改责任人，提出合理化整改意见，确保安全生产和安全使用。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在北京市一处农业园区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eastAsia="zh-CN"/>
              </w:rPr>
              <w:t>内建设一套温室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增温除湿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eastAsia="zh-CN"/>
              </w:rPr>
              <w:t>设备。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1、为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个运行气站及部分太阳能公共浴室统一制作安全警示牌，配备消防器材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紫外线消毒灯、防滑地垫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制作安全宣传横幅等加大安全宣传力度；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2、安全培训方面，因财政资金核减，没有组织培训；</w:t>
            </w:r>
            <w:r>
              <w:rPr>
                <w:rFonts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 xml:space="preserve"> 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3、安全巡查巡视方面，圆满完成预期目标，全年完成2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天，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89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处能源工程安全检查，及时发现问题，排查安全隐患，提出整改意见，达到能源工程全年零安全事故。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在北京市一处农业园区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eastAsia="zh-CN"/>
              </w:rPr>
              <w:t>内已建设一套温室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增温除湿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eastAsia="zh-CN"/>
              </w:rPr>
              <w:t>设备并已应用示范。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绩</w:t>
            </w:r>
            <w:r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效</w:t>
            </w:r>
            <w:r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指</w:t>
            </w:r>
            <w:r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年度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实际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偏差原因分析及改进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1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eastAsia="zh-CN"/>
              </w:rPr>
              <w:t>安全宣传品数量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安全警示标牌2100块、消毒车46台、浴室防滑地垫66卷、消防器材90个。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安全警示标牌2100块、消毒车46台、浴室防滑地垫66卷、消防器材90个。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2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安全检查天数、数量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20天、80处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20天、80处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val="en-US" w:eastAsia="zh-CN"/>
              </w:rPr>
              <w:t>3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eastAsia="zh-CN"/>
              </w:rPr>
              <w:t>建设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eastAsia="zh-CN"/>
              </w:rPr>
              <w:t>一套温室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增温除湿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eastAsia="zh-CN"/>
              </w:rPr>
              <w:t>设备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eastAsia="zh-CN"/>
              </w:rPr>
              <w:t>一套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一套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1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安全宣传品质量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符合国家标准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符合国家标准100</w:t>
            </w:r>
            <w:r>
              <w:rPr>
                <w:rFonts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2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安全检查完成质量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≥95％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val="en-US" w:eastAsia="zh-CN"/>
              </w:rPr>
              <w:t>3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eastAsia="zh-CN"/>
              </w:rPr>
              <w:t>温室增温除湿设备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质量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符合国家标准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符合国家标准100</w:t>
            </w:r>
            <w:r>
              <w:rPr>
                <w:rFonts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1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.1-3月：项目方案优化、细化实施流程等。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.1-3月：项目方案优化、细化实施流程等。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1202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.1-3月：项目方案优化、细化实施流程等。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2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-11月：项目实施阶段，按财政支出进度完成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%工作任务。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1年4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-11月：项目实施阶段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21年4-11月：项目实施阶段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4.9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因新冠肺炎疫情影响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进度稍有滞后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bookmarkStart w:id="0" w:name="_GoBack" w:colFirst="3" w:colLast="8"/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highlight w:val="none"/>
              </w:rPr>
              <w:t>指标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highlight w:val="none"/>
              </w:rPr>
              <w:t>：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highlight w:val="none"/>
              </w:rPr>
              <w:t>完成项目各项指标、总结性报告。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/>
              </w:rPr>
              <w:t>2021年12月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highlight w:val="none"/>
              </w:rPr>
              <w:t>完成项目各项指标、总结性报告。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/>
              </w:rPr>
              <w:t>2021年12月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highlight w:val="none"/>
              </w:rPr>
              <w:t>完成项目各项指标、总结性报告。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highlight w:val="none"/>
                <w:lang w:val="en-US" w:eastAsia="zh-CN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1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eastAsia="zh-CN"/>
              </w:rPr>
              <w:t>设备费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31.03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31.03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2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eastAsia="zh-CN"/>
              </w:rPr>
              <w:t>租车费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1.75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1.75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val="en-US" w:eastAsia="zh-CN"/>
              </w:rPr>
              <w:t>3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eastAsia="zh-CN"/>
              </w:rPr>
              <w:t>劳务费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0.17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0.17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val="en-US" w:eastAsia="zh-CN"/>
              </w:rPr>
              <w:t>4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eastAsia="zh-CN"/>
              </w:rPr>
              <w:t>委托业务费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13.4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13.4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val="en-US" w:eastAsia="zh-CN"/>
              </w:rPr>
              <w:t>5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eastAsia="zh-CN"/>
              </w:rPr>
              <w:t>专用材料费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21.3982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21.3982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val="en-US" w:eastAsia="zh-CN"/>
              </w:rPr>
              <w:t>6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eastAsia="zh-CN"/>
              </w:rPr>
              <w:t>咨询费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val="en-US" w:eastAsia="zh-CN"/>
              </w:rPr>
              <w:t>7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eastAsia="zh-CN"/>
              </w:rPr>
              <w:t>差旅费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7.74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6.2438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经济效益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1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可使在此类工程上的国有投资减少，提高资金的使用效率。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可使在此类工程上的国有投资减少，提高资金的使用效率。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可使在此类工程上的国有投资减少，提高资金的使用效率。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社会效益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1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可以有效地改善农民人居条件、保护农村和农业生态环境，社会效益十分显著。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可以有效地改善农民人居条件、保护农村和农业生态环境，社会效益十分显著。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可以有效地改善农民人居条件、保护农村和农业生态环境，社会效益十分显著。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生态效益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1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可减少部分村庄农民烧柴做饭所带来的烟气排放，合理使用清洁能源，保护生态环境。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可减少部分村庄农民烧柴做饭所带来的烟气排放，合理使用清洁能源，保护生态环境。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可减少部分村庄农民烧柴做饭所带来的烟气排放，合理使用清洁能源，保护生态环境。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1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val="en-US" w:eastAsia="zh-CN"/>
              </w:rPr>
              <w:t>无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满意度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1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村民对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eastAsia="zh-CN"/>
              </w:rPr>
              <w:t>农村能源设施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使用情况满意度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≥85%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指标</w:t>
            </w:r>
            <w:r>
              <w:rPr>
                <w:rFonts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2</w:t>
            </w: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：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eastAsia="zh-CN"/>
              </w:rPr>
              <w:t>园区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对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eastAsia="zh-CN"/>
              </w:rPr>
              <w:t>温室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增温除湿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eastAsia="zh-CN"/>
              </w:rPr>
              <w:t>设备</w:t>
            </w: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</w:rPr>
              <w:t>使用情况满意度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≥85%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</w:rPr>
            </w:pPr>
            <w:r>
              <w:rPr>
                <w:rFonts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val="en-US" w:eastAsia="zh-CN"/>
              </w:rPr>
              <w:t>99.71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0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_GB2312" w:eastAsia="仿宋_GB2312"/>
          <w:b w:val="0"/>
          <w:i w:val="0"/>
          <w:caps w:val="0"/>
          <w:vanish/>
          <w:spacing w:val="0"/>
          <w:w w:val="100"/>
          <w:sz w:val="32"/>
          <w:szCs w:val="32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Fonts w:ascii="仿宋_GB2312" w:hAnsi="??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</w:pPr>
    </w:p>
    <w:p>
      <w:pPr>
        <w:widowControl/>
        <w:snapToGrid/>
        <w:spacing w:before="0" w:beforeAutospacing="0" w:after="0" w:afterAutospacing="0" w:line="520" w:lineRule="exact"/>
        <w:jc w:val="left"/>
        <w:textAlignment w:val="baseline"/>
        <w:rPr>
          <w:rFonts w:ascii="仿宋_GB2312" w:hAnsi="??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填报注意事项：</w:t>
      </w:r>
    </w:p>
    <w:p>
      <w:pPr>
        <w:widowControl/>
        <w:snapToGrid/>
        <w:spacing w:before="0" w:beforeAutospacing="0" w:after="0" w:afterAutospacing="0" w:line="520" w:lineRule="exact"/>
        <w:ind w:firstLine="640" w:firstLineChars="200"/>
        <w:jc w:val="left"/>
        <w:textAlignment w:val="baseline"/>
        <w:rPr>
          <w:rFonts w:ascii="仿宋_GB2312" w:hAnsi="??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</w:pP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得分一档最高不能超过该指标分值上限。</w:t>
      </w:r>
    </w:p>
    <w:p>
      <w:pPr>
        <w:widowControl/>
        <w:snapToGrid/>
        <w:spacing w:before="0" w:beforeAutospacing="0" w:after="0" w:afterAutospacing="0" w:line="520" w:lineRule="exact"/>
        <w:jc w:val="left"/>
        <w:textAlignment w:val="baseline"/>
        <w:rPr>
          <w:rFonts w:ascii="仿宋_GB2312" w:hAnsi="??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</w:pP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扣分。</w:t>
      </w:r>
    </w:p>
    <w:p>
      <w:pPr>
        <w:snapToGrid/>
        <w:spacing w:before="0" w:beforeAutospacing="0" w:after="0" w:afterAutospacing="0" w:line="520" w:lineRule="exact"/>
        <w:ind w:firstLine="640" w:firstLineChars="200"/>
        <w:jc w:val="left"/>
        <w:textAlignment w:val="baseline"/>
        <w:rPr>
          <w:rFonts w:ascii="仿宋_GB2312" w:hAnsi="??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</w:pP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napToGrid/>
        <w:spacing w:before="0" w:beforeAutospacing="0" w:after="0" w:afterAutospacing="0" w:line="520" w:lineRule="exact"/>
        <w:ind w:firstLine="64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9E31A0"/>
    <w:multiLevelType w:val="singleLevel"/>
    <w:tmpl w:val="FB9E31A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xOTMxYzk4NDYzNTVkNTY1MDk3ZDc3ZTFkNGUzMDgifQ=="/>
  </w:docVars>
  <w:rsids>
    <w:rsidRoot w:val="F77F09F4"/>
    <w:rsid w:val="00212B3B"/>
    <w:rsid w:val="003518EE"/>
    <w:rsid w:val="004C37F4"/>
    <w:rsid w:val="006462FD"/>
    <w:rsid w:val="00796BC5"/>
    <w:rsid w:val="008F7B3D"/>
    <w:rsid w:val="00AF513F"/>
    <w:rsid w:val="00BC4D7D"/>
    <w:rsid w:val="00C6637B"/>
    <w:rsid w:val="00D65E5D"/>
    <w:rsid w:val="00D7349D"/>
    <w:rsid w:val="00E53254"/>
    <w:rsid w:val="00F67A40"/>
    <w:rsid w:val="0BCB10ED"/>
    <w:rsid w:val="18972CA9"/>
    <w:rsid w:val="37173543"/>
    <w:rsid w:val="3FF76880"/>
    <w:rsid w:val="423906AC"/>
    <w:rsid w:val="59EF71EF"/>
    <w:rsid w:val="65FF7E9D"/>
    <w:rsid w:val="675924CD"/>
    <w:rsid w:val="67E23C3E"/>
    <w:rsid w:val="6A0B7B42"/>
    <w:rsid w:val="6DFFDA6B"/>
    <w:rsid w:val="77F834DA"/>
    <w:rsid w:val="7AB7FF50"/>
    <w:rsid w:val="7BFEB0DB"/>
    <w:rsid w:val="7FFD70CF"/>
    <w:rsid w:val="AF73BDA3"/>
    <w:rsid w:val="BB6CF0A3"/>
    <w:rsid w:val="BBE7B4B8"/>
    <w:rsid w:val="BBFFE84E"/>
    <w:rsid w:val="BE7F63C2"/>
    <w:rsid w:val="C7BDE97D"/>
    <w:rsid w:val="CEFD3F3D"/>
    <w:rsid w:val="E5CF87E3"/>
    <w:rsid w:val="EA3F77F2"/>
    <w:rsid w:val="EEFE5989"/>
    <w:rsid w:val="EFCF3EAE"/>
    <w:rsid w:val="F5B764A2"/>
    <w:rsid w:val="F77F09F4"/>
    <w:rsid w:val="FFD7BFFC"/>
    <w:rsid w:val="FFDE8382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4</Pages>
  <Words>1819</Words>
  <Characters>2076</Characters>
  <Lines>0</Lines>
  <Paragraphs>0</Paragraphs>
  <TotalTime>0</TotalTime>
  <ScaleCrop>false</ScaleCrop>
  <LinksUpToDate>false</LinksUpToDate>
  <CharactersWithSpaces>2163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波泼摸坲</cp:lastModifiedBy>
  <cp:lastPrinted>2022-03-25T02:01:00Z</cp:lastPrinted>
  <dcterms:modified xsi:type="dcterms:W3CDTF">2022-05-30T02:23:36Z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9B8C9FAFACF44C4FA9DDD11DD51C5475</vt:lpwstr>
  </property>
</Properties>
</file>