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58"/>
        <w:gridCol w:w="269"/>
        <w:gridCol w:w="1016"/>
        <w:gridCol w:w="964"/>
        <w:gridCol w:w="279"/>
        <w:gridCol w:w="284"/>
        <w:gridCol w:w="420"/>
        <w:gridCol w:w="393"/>
        <w:gridCol w:w="45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2021年北区大院安全设施升级改造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北京市农业农村局后勤服务中心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田茂军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/>
                <w:kern w:val="0"/>
              </w:rPr>
              <w:t>82078486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105.732318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105.732318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95.592178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90.41%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105.732318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105.732318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95.592178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firstLine="260" w:firstLineChars="200"/>
              <w:jc w:val="left"/>
              <w:textAlignment w:val="auto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  <w:t>大门控制系统进行改造升级，车辆识别系统进行升级改造，一个人名下可以设1到2辆车号可进入，但是如果本人名下其中有一辆车在机关，其他本人车辆无法进入机关。这样即方便本人限号时换车，又防止故意在机关长期停车事件发生。对行人和自行车进出实行刷卡进出管理，内部员工凭授权的工作证、饭卡或本人身份证，进出办公区时刷卡开启速通门或智能小门；访客进入均需实名登记。有效的提高大院的安全性。对安保门卫室进行改造，打造整洁的访客登记室。火灾报警安装点型光电感烟探测器513个，声光报警器30个，连接到消防中控室。安装完毕后，全院所有楼宇火灾自动报警全覆盖。保证消防安全。院内办公楼内电开水器大部分是2007年安装使用的，少部分是2010年安装。使用年限都已经超过了10年。由于水质较差，产生水垢，经常出现故障。为了保证饮水安全，特申请购买带过滤装置的电开水器10台。更新后提高水质，保证职工的身体健康</w:t>
            </w:r>
            <w:r>
              <w:rPr>
                <w:rFonts w:hint="eastAsia" w:ascii="仿宋_GB2312" w:hAnsi="??" w:eastAsia="仿宋_GB2312"/>
                <w:kern w:val="0"/>
                <w:sz w:val="13"/>
                <w:szCs w:val="13"/>
              </w:rPr>
              <w:t>。</w:t>
            </w:r>
          </w:p>
        </w:tc>
        <w:tc>
          <w:tcPr>
            <w:tcW w:w="35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按目标进度完成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空降门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2樘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FF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电动小门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1樘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FF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烟感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513个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513个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FF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声光报警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30个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FF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电开水器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10台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验收合格率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项目完成时间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2021年底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 w:cs="仿宋_GB2312"/>
                <w:kern w:val="0"/>
              </w:rPr>
              <w:t>105.732318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95.592178万元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提高办公区的安全性，保证消防安全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提高办公区的安全性，保证消防安全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提高办公区的安全性，保证消防安全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职工满意度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97.04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8141EF2"/>
    <w:rsid w:val="11E63AFE"/>
    <w:rsid w:val="15015DA3"/>
    <w:rsid w:val="1A8F0E1C"/>
    <w:rsid w:val="2B6F5623"/>
    <w:rsid w:val="2D1A70E4"/>
    <w:rsid w:val="2D27462C"/>
    <w:rsid w:val="37173543"/>
    <w:rsid w:val="377E02E4"/>
    <w:rsid w:val="3FF76880"/>
    <w:rsid w:val="4E9E7E12"/>
    <w:rsid w:val="560A7EE3"/>
    <w:rsid w:val="665E7546"/>
    <w:rsid w:val="747867D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1158</Words>
  <Characters>1353</Characters>
  <Lines>0</Lines>
  <Paragraphs>0</Paragraphs>
  <TotalTime>4</TotalTime>
  <ScaleCrop>false</ScaleCrop>
  <LinksUpToDate>false</LinksUpToDate>
  <CharactersWithSpaces>1390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2022-05-27T07:58:36Z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85FEECC5FE924ECEB6C0BB408D8A3BCF</vt:lpwstr>
  </property>
</Properties>
</file>