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rPr>
        <w:t>2021</w:t>
      </w:r>
      <w:r>
        <w:rPr>
          <w:rFonts w:ascii="仿宋_GB2312" w:hAnsi="??" w:eastAsia="仿宋_GB2312" w:cs="仿宋_GB2312"/>
          <w:sz w:val="28"/>
          <w:szCs w:val="28"/>
        </w:rPr>
        <w:t xml:space="preserve">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128"/>
        <w:gridCol w:w="1004"/>
        <w:gridCol w:w="848"/>
        <w:gridCol w:w="279"/>
        <w:gridCol w:w="392"/>
        <w:gridCol w:w="312"/>
        <w:gridCol w:w="255"/>
        <w:gridCol w:w="591"/>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农产品中典型污染物多靶标同步快速检测技术示范与推广</w:t>
            </w:r>
          </w:p>
        </w:tc>
      </w:tr>
      <w:tr>
        <w:tblPrEx>
          <w:tblCellMar>
            <w:top w:w="0" w:type="dxa"/>
            <w:left w:w="108" w:type="dxa"/>
            <w:bottom w:w="0" w:type="dxa"/>
            <w:right w:w="108" w:type="dxa"/>
          </w:tblCellMar>
        </w:tblPrEx>
        <w:trPr>
          <w:trHeight w:val="53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3" w:name="_GoBack" w:colFirst="5" w:colLast="8"/>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cs="仿宋_GB2312"/>
                <w:kern w:val="0"/>
                <w:highlight w:val="none"/>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highlight w:val="none"/>
                <w:lang w:eastAsia="zh-CN"/>
              </w:rPr>
            </w:pPr>
            <w:r>
              <w:rPr>
                <w:rFonts w:hint="eastAsia" w:ascii="仿宋_GB2312" w:hAnsi="??" w:eastAsia="仿宋_GB2312"/>
                <w:kern w:val="0"/>
                <w:highlight w:val="none"/>
              </w:rPr>
              <w:t>北京市农业环境监测站</w:t>
            </w:r>
          </w:p>
        </w:tc>
      </w:tr>
      <w:bookmarkEnd w:id="3"/>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欧阳喜辉</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13511059746（肖志勇）</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44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42.300498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99.06%</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9.91</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42.300498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03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宋体" w:hAnsi="宋体" w:cs="宋体"/>
                <w:color w:val="000000"/>
                <w:kern w:val="0"/>
                <w:sz w:val="20"/>
                <w:szCs w:val="20"/>
              </w:rPr>
              <w:t>示范推广果蔬中农药残留的快速检测技术1项。示范推广玉米生物毒素的快速检测技术1项。发表研究论文1~2篇，提出标准（草案）1~2项。推广应用于检测机构，培训检测人员不少于200人次。</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宋体" w:hAnsi="宋体" w:cs="宋体"/>
                <w:color w:val="000000"/>
                <w:kern w:val="0"/>
                <w:sz w:val="20"/>
                <w:szCs w:val="20"/>
              </w:rPr>
              <w:t>该项目已完成项目建设内容</w:t>
            </w:r>
            <w:r>
              <w:rPr>
                <w:rFonts w:ascii="宋体" w:hAnsi="宋体" w:cs="宋体"/>
                <w:color w:val="000000"/>
                <w:kern w:val="0"/>
                <w:sz w:val="20"/>
                <w:szCs w:val="20"/>
              </w:rPr>
              <w:t xml:space="preserve"> </w:t>
            </w:r>
            <w:r>
              <w:rPr>
                <w:rFonts w:hint="eastAsia" w:ascii="宋体" w:hAnsi="宋体" w:cs="宋体"/>
                <w:color w:val="000000"/>
                <w:kern w:val="0"/>
                <w:sz w:val="20"/>
                <w:szCs w:val="20"/>
              </w:rPr>
              <w:t>。</w:t>
            </w:r>
            <w:r>
              <w:rPr>
                <w:rFonts w:ascii="宋体" w:hAnsi="宋体" w:cs="宋体"/>
                <w:color w:val="000000"/>
                <w:kern w:val="0"/>
                <w:sz w:val="20"/>
                <w:szCs w:val="20"/>
              </w:rPr>
              <w:t>1.</w:t>
            </w:r>
            <w:r>
              <w:rPr>
                <w:rFonts w:hint="eastAsia" w:ascii="宋体" w:hAnsi="宋体" w:cs="宋体"/>
                <w:color w:val="000000"/>
                <w:kern w:val="0"/>
                <w:sz w:val="20"/>
                <w:szCs w:val="20"/>
              </w:rPr>
              <w:t>产出指标（</w:t>
            </w:r>
            <w:r>
              <w:rPr>
                <w:rFonts w:ascii="宋体" w:hAnsi="宋体" w:cs="宋体"/>
                <w:color w:val="000000"/>
                <w:kern w:val="0"/>
                <w:sz w:val="20"/>
                <w:szCs w:val="20"/>
              </w:rPr>
              <w:t>1</w:t>
            </w:r>
            <w:r>
              <w:rPr>
                <w:rFonts w:hint="eastAsia" w:ascii="宋体" w:hAnsi="宋体" w:cs="宋体"/>
                <w:color w:val="000000"/>
                <w:kern w:val="0"/>
                <w:sz w:val="20"/>
                <w:szCs w:val="20"/>
              </w:rPr>
              <w:t>）数量指标：筛选优化集成侧流层析试纸条检测技术，≥1项；生物毒素检测技术，≥1项；线上线下培训基层检测技术人员超过300人次。（</w:t>
            </w:r>
            <w:r>
              <w:rPr>
                <w:rFonts w:ascii="宋体" w:hAnsi="宋体" w:cs="宋体"/>
                <w:color w:val="000000"/>
                <w:kern w:val="0"/>
                <w:sz w:val="20"/>
                <w:szCs w:val="20"/>
              </w:rPr>
              <w:t>2</w:t>
            </w:r>
            <w:r>
              <w:rPr>
                <w:rFonts w:hint="eastAsia" w:ascii="宋体" w:hAnsi="宋体" w:cs="宋体"/>
                <w:color w:val="000000"/>
                <w:kern w:val="0"/>
                <w:sz w:val="20"/>
                <w:szCs w:val="20"/>
              </w:rPr>
              <w:t>）质量指标：快速检测技术灵敏度，满足G</w:t>
            </w:r>
            <w:r>
              <w:rPr>
                <w:rFonts w:ascii="宋体" w:hAnsi="宋体" w:cs="宋体"/>
                <w:color w:val="000000"/>
                <w:kern w:val="0"/>
                <w:sz w:val="20"/>
                <w:szCs w:val="20"/>
              </w:rPr>
              <w:t>B2763-2021</w:t>
            </w:r>
            <w:r>
              <w:rPr>
                <w:rFonts w:hint="eastAsia" w:ascii="宋体" w:hAnsi="宋体" w:cs="宋体"/>
                <w:color w:val="000000"/>
                <w:kern w:val="0"/>
                <w:sz w:val="20"/>
                <w:szCs w:val="20"/>
              </w:rPr>
              <w:t>要求。</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8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OLE_LINK2" w:colFirst="7" w:colLast="7"/>
            <w:bookmarkStart w:id="1" w:name="OLE_LINK1" w:colFirst="6" w:colLast="6"/>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982" w:type="dxa"/>
            <w:gridSpan w:val="3"/>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指标1：筛选优化集成侧流层析试纸条检测技术</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指标2：生物毒素检测技术</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指标3：培训基层检测技术人员</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200人次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300人次</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指标1：快速检测技术灵敏度</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满足GB 2763MRL的要求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满足GB 2763MRL的要求</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指标2：检测技术在基层覆盖率</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≥70%</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指标3：完成项目评价报告</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获得评价报告1份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完成获得评价报告1份</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 xml:space="preserve"> 指标1：核心技术筛选和熟化验证</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1月-3月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1月-3月完成</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 xml:space="preserve"> 指标2：快速检测技术筛选比对优化集成</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3月-6月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3月-6月完成</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指标3：技术示范、培训、推广</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7月-12月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7月-12月完成</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指标1：项目预算控制</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42.7</w:t>
            </w:r>
            <w:r>
              <w:rPr>
                <w:rFonts w:hint="eastAsia" w:ascii="仿宋_GB2312" w:hAnsi="??" w:eastAsia="仿宋_GB2312" w:cs="仿宋_GB2312"/>
                <w:kern w:val="0"/>
                <w:lang w:val="en-US" w:eastAsia="zh-CN"/>
              </w:rPr>
              <w:t>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 w:eastAsia="仿宋_GB2312"/>
                <w:kern w:val="0"/>
                <w:lang w:val="en-US" w:eastAsia="zh-CN"/>
              </w:rPr>
            </w:pPr>
            <w:r>
              <w:rPr>
                <w:rFonts w:hint="eastAsia" w:ascii="仿宋_GB2312" w:hAnsi="??" w:eastAsia="仿宋_GB2312"/>
                <w:kern w:val="0"/>
                <w:lang w:val="en-US" w:eastAsia="zh-CN"/>
              </w:rPr>
              <w:t>项目实际支出42.300498万元</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rPr>
              <w:t>指标1：</w:t>
            </w:r>
            <w:r>
              <w:rPr>
                <w:rFonts w:hint="eastAsia" w:ascii="仿宋_GB2312" w:hAnsi="??" w:eastAsia="仿宋_GB2312" w:cs="仿宋_GB2312"/>
                <w:color w:val="000000"/>
                <w:kern w:val="0"/>
                <w:lang w:val="en-US" w:eastAsia="zh-CN"/>
              </w:rPr>
              <w:t>无</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该技术将提升市—区—镇农产品质量安全监管网络的检测能力，补齐基层农产品质量安全监管技术短板，发挥农产品质量安全机构在农产品质量安全监管和农产品高质量生产的技术支撑作用，并且为2022年北京冬奥会等重大活动农产品供应提供快速检测技术支撑。</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在北京冬奥会、北京农业执法体系现场执法、</w:t>
            </w:r>
            <w:r>
              <w:rPr>
                <w:rFonts w:hint="eastAsia" w:ascii="仿宋_GB2312" w:hAnsi="??" w:eastAsia="仿宋_GB2312" w:cs="仿宋_GB2312"/>
                <w:color w:val="000000"/>
                <w:kern w:val="0"/>
                <w:lang w:eastAsia="zh-CN"/>
              </w:rPr>
              <w:t>区级农业综合质检站应用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已</w:t>
            </w:r>
            <w:r>
              <w:rPr>
                <w:rFonts w:hint="eastAsia" w:ascii="仿宋_GB2312" w:hAnsi="??" w:eastAsia="仿宋_GB2312"/>
                <w:kern w:val="0"/>
              </w:rPr>
              <w:t>在北京冬奥会、北京农业执法体系现场执法、</w:t>
            </w:r>
            <w:r>
              <w:rPr>
                <w:rFonts w:hint="eastAsia" w:ascii="仿宋_GB2312" w:hAnsi="??" w:eastAsia="仿宋_GB2312"/>
                <w:kern w:val="0"/>
                <w:lang w:eastAsia="zh-CN"/>
              </w:rPr>
              <w:t>区级农业综合质检站应用</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r>
              <w:rPr>
                <w:rFonts w:hint="eastAsia" w:ascii="仿宋_GB2312" w:hAnsi="??" w:eastAsia="仿宋_GB2312"/>
                <w:kern w:val="0"/>
                <w:lang w:val="en-US" w:eastAsia="zh-CN"/>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由于疫情的原因</w:t>
            </w:r>
            <w:r>
              <w:rPr>
                <w:rFonts w:hint="eastAsia" w:ascii="仿宋_GB2312" w:hAnsi="??" w:eastAsia="仿宋_GB2312"/>
                <w:kern w:val="0"/>
                <w:lang w:eastAsia="zh-CN"/>
              </w:rPr>
              <w:t>，推广规模未全部覆盖郊区生产基地</w:t>
            </w:r>
          </w:p>
        </w:tc>
      </w:tr>
      <w:tr>
        <w:tblPrEx>
          <w:tblCellMar>
            <w:top w:w="0" w:type="dxa"/>
            <w:left w:w="108" w:type="dxa"/>
            <w:bottom w:w="0" w:type="dxa"/>
            <w:right w:w="108" w:type="dxa"/>
          </w:tblCellMar>
        </w:tblPrEx>
        <w:trPr>
          <w:trHeight w:val="5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无</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无</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指标1：为农产品质量安全监管提供技术支撑</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政府满意度达到90%。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政府满意度达到90%。</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bookmarkEnd w:id="0"/>
      <w:bookmarkEnd w:id="1"/>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bookmarkStart w:id="2" w:name="OLE_LINK3"/>
            <w:r>
              <w:rPr>
                <w:rFonts w:hint="eastAsia" w:ascii="仿宋_GB2312" w:hAnsi="??" w:eastAsia="仿宋_GB2312" w:cs="仿宋_GB2312"/>
                <w:color w:val="000000"/>
                <w:kern w:val="0"/>
              </w:rPr>
              <w:t>9</w:t>
            </w:r>
            <w:r>
              <w:rPr>
                <w:rFonts w:hint="eastAsia" w:ascii="仿宋_GB2312" w:hAnsi="??" w:eastAsia="仿宋_GB2312" w:cs="仿宋_GB2312"/>
                <w:color w:val="000000"/>
                <w:kern w:val="0"/>
                <w:lang w:val="en-US" w:eastAsia="zh-CN"/>
              </w:rPr>
              <w:t>4.9</w:t>
            </w:r>
            <w:bookmarkEnd w:id="2"/>
            <w:r>
              <w:rPr>
                <w:rFonts w:hint="eastAsia" w:ascii="仿宋_GB2312" w:hAnsi="??" w:eastAsia="仿宋_GB2312" w:cs="仿宋_GB2312"/>
                <w:color w:val="000000"/>
                <w:kern w:val="0"/>
                <w:lang w:val="en-US" w:eastAsia="zh-CN"/>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黑体_GBK">
    <w:altName w:val="黑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1025" o:spid="_x0000_s1025"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MxOTMxYzk4NDYzNTVkNTY1MDk3ZDc3ZTFkNGUzMDgifQ=="/>
  </w:docVars>
  <w:rsids>
    <w:rsidRoot w:val="F77F09F4"/>
    <w:rsid w:val="00106E2F"/>
    <w:rsid w:val="001D3DC2"/>
    <w:rsid w:val="00212B3B"/>
    <w:rsid w:val="003518EE"/>
    <w:rsid w:val="004C37F4"/>
    <w:rsid w:val="006462FD"/>
    <w:rsid w:val="008F7B3D"/>
    <w:rsid w:val="00A86407"/>
    <w:rsid w:val="00AF513F"/>
    <w:rsid w:val="00BC4D7D"/>
    <w:rsid w:val="00C6637B"/>
    <w:rsid w:val="00D65E5D"/>
    <w:rsid w:val="00D7349D"/>
    <w:rsid w:val="00E53254"/>
    <w:rsid w:val="00EC6D6D"/>
    <w:rsid w:val="00F131F9"/>
    <w:rsid w:val="00F67A40"/>
    <w:rsid w:val="18D11095"/>
    <w:rsid w:val="19D72E99"/>
    <w:rsid w:val="19E96F47"/>
    <w:rsid w:val="21DC5782"/>
    <w:rsid w:val="25A71C1F"/>
    <w:rsid w:val="37173543"/>
    <w:rsid w:val="3EB632A1"/>
    <w:rsid w:val="3FF76880"/>
    <w:rsid w:val="43EC7C53"/>
    <w:rsid w:val="51A44928"/>
    <w:rsid w:val="774246E4"/>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link w:val="2"/>
    <w:semiHidden/>
    <w:qFormat/>
    <w:locked/>
    <w:uiPriority w:val="99"/>
    <w:rPr>
      <w:rFonts w:ascii="Cambria" w:hAnsi="Cambria" w:eastAsia="宋体" w:cs="Cambria"/>
      <w:b/>
      <w:bCs/>
      <w:sz w:val="32"/>
      <w:szCs w:val="32"/>
    </w:rPr>
  </w:style>
  <w:style w:type="character" w:customStyle="1" w:styleId="8">
    <w:name w:val="页脚 字符"/>
    <w:link w:val="3"/>
    <w:semiHidden/>
    <w:qFormat/>
    <w:locked/>
    <w:uiPriority w:val="99"/>
    <w:rPr>
      <w:rFonts w:ascii="Times New Roman" w:hAnsi="Times New Roman" w:cs="Times New Roman"/>
      <w:sz w:val="18"/>
      <w:szCs w:val="18"/>
    </w:rPr>
  </w:style>
  <w:style w:type="character" w:customStyle="1" w:styleId="9">
    <w:name w:val="页眉 字符"/>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 w:type="character" w:customStyle="1" w:styleId="11">
    <w:name w:val="font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1316</Words>
  <Characters>1499</Characters>
  <Lines>13</Lines>
  <Paragraphs>3</Paragraphs>
  <TotalTime>14</TotalTime>
  <ScaleCrop>false</ScaleCrop>
  <LinksUpToDate>false</LinksUpToDate>
  <CharactersWithSpaces>1543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波泼摸坲</cp:lastModifiedBy>
  <cp:lastPrinted>2022-03-24T10:01:00Z</cp:lastPrinted>
  <dcterms:modified xsi:type="dcterms:W3CDTF">2022-05-30T01:13:58Z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0B08645231F142DC9A8B539D667395A3</vt:lpwstr>
  </property>
</Properties>
</file>