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2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085"/>
        <w:gridCol w:w="976"/>
        <w:gridCol w:w="151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1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2021年农村生活垃圾与农业废弃物联合处理及循环利用模式试验示范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3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</w:t>
            </w:r>
            <w:r>
              <w:rPr>
                <w:rFonts w:hint="eastAsia" w:ascii="仿宋_GB2312" w:hAnsi="??" w:eastAsia="仿宋_GB2312"/>
                <w:kern w:val="0"/>
              </w:rPr>
              <w:t>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北京市畜牧业环境监测站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3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王重庆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5210309534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26.426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26.426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26.426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26.426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26.426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26.426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3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3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1、建立覆膜发酵技术试点2-3家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2、建立槽式发酵技术试点1家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3、建立密闭式发酵技术试点1家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4、优化发酵技术1套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5、集成在线监测技术1套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1、建立覆膜发酵技术试点</w:t>
            </w:r>
            <w:r>
              <w:rPr>
                <w:rFonts w:ascii="仿宋_GB2312" w:hAnsi="??" w:eastAsia="仿宋_GB2312"/>
                <w:kern w:val="0"/>
              </w:rPr>
              <w:t>4</w:t>
            </w:r>
            <w:r>
              <w:rPr>
                <w:rFonts w:hint="eastAsia" w:ascii="仿宋_GB2312" w:hAnsi="??" w:eastAsia="仿宋_GB2312"/>
                <w:kern w:val="0"/>
              </w:rPr>
              <w:t>家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2、建立槽式发酵技术试点1家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3、建立密闭式发酵技术试点1家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4、优化发酵技术1套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5、集成在线监测技术1套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指标1：建立联合发酵技术试点场家数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4家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4家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指标2：形成技术指南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1套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1套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指标3：完成项目总结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1份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1份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指标1：优化后，发酵效果提高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10%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60%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2.8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经项目实施测算，发酵效率相较当地传统发酵效率提高了60%，与年初指标相差较大，主要原因在于年初指标制定过于保守，在后续项目申报过程中应进一步科学制定指标数值。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指标2：场家堆肥监测效率提高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10%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10%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指标1：组织调研论证，并完成实施方案的制定；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1月至2月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1月至2月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指标2：完成设备选型，试验点选择及设备耗材招投标采购等工作；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3月至5月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3月至5月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指标3：完成试点建设工作，开展前期监测分析；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5月至8月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5月至8月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指标4：开展技术优化工作；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8月至10月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8月至10月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指标5：项目总结汇总，形成相应成功。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11月至12月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11月至12月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指标6：半年支出进度。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6月底，支出项目总经费60%，开展试点建设工作。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6月底，支出项目总经费60%，开展试点建设工作。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项目控制总预算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126.426万元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126.426万元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项目运行后，每年可生产优质有机肥，企业可通过出售有机肥获利提高10%。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10%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0%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由于新颁布的有机肥料标准中规定，厨余垃圾作为有机肥料原料使用时必须经过评估，目前我市没有相关评估程序，无法作为有机肥料出售。目前已经在通州区东刘庄村建立了镇出经费，村运营，林地还田的应用模式，并在逐步推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项目运行后，每年可减少农业废弃物及生活垃圾总量20%，满足广大农民对农田废弃物及生活垃圾处理的需求。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20%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20%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9.5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支撑材料有待加强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通过项目的实施，提高堆肥质量，降低抗生素及重金属等污染物对环境的危害，降低畜禽粪便还田对周边环境的影响，对保护地下水及土壤有重要作用。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提高堆肥质量，降低抗生素及重金属等污染物对环境的危害，降低畜禽粪便还田对周边环境的影响，对保护地下水及土壤有重要作用。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提高堆肥质量，降低抗生素及重金属等污染物对环境的危害，降低畜禽粪便还田对周边环境的影响，对保护地下水及土壤有重要作用。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等线" w:eastAsia="仿宋_GB2312"/>
                <w:color w:val="000000"/>
              </w:rPr>
            </w:pPr>
            <w:r>
              <w:rPr>
                <w:rFonts w:ascii="仿宋_GB2312" w:hAnsi="等线" w:eastAsia="仿宋_GB2312"/>
                <w:color w:val="000000"/>
              </w:rPr>
              <w:t>9.5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支撑材料有待加强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　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　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群众对联合处理生活垃圾模式的满意度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支撑材料有待加强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3.8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3 -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1936FF"/>
    <w:rsid w:val="00212B3B"/>
    <w:rsid w:val="002E4FCB"/>
    <w:rsid w:val="00350A05"/>
    <w:rsid w:val="003518EE"/>
    <w:rsid w:val="004C37F4"/>
    <w:rsid w:val="005233E6"/>
    <w:rsid w:val="006462FD"/>
    <w:rsid w:val="008F7B3D"/>
    <w:rsid w:val="00A06915"/>
    <w:rsid w:val="00AF513F"/>
    <w:rsid w:val="00BC4D7D"/>
    <w:rsid w:val="00C6637B"/>
    <w:rsid w:val="00C86130"/>
    <w:rsid w:val="00CC4AF2"/>
    <w:rsid w:val="00D65E5D"/>
    <w:rsid w:val="00D7349D"/>
    <w:rsid w:val="00E53254"/>
    <w:rsid w:val="00F67A40"/>
    <w:rsid w:val="00F75653"/>
    <w:rsid w:val="00FE0D8E"/>
    <w:rsid w:val="37173543"/>
    <w:rsid w:val="3FF76880"/>
    <w:rsid w:val="4DD35E0E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250</Words>
  <Characters>1426</Characters>
  <Lines>11</Lines>
  <Paragraphs>3</Paragraphs>
  <TotalTime>47</TotalTime>
  <ScaleCrop>false</ScaleCrop>
  <LinksUpToDate>false</LinksUpToDate>
  <CharactersWithSpaces>1673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2022-03-24T10:01:00Z</cp:lastPrinted>
  <dcterms:modified xsi:type="dcterms:W3CDTF">2022-05-30T10:27:18Z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3527B1A3F68B4189903EA48A1BBCF63F</vt:lpwstr>
  </property>
</Properties>
</file>