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88" w:type="dxa"/>
        <w:jc w:val="center"/>
        <w:tblLayout w:type="fixed"/>
        <w:tblCellMar>
          <w:top w:w="0" w:type="dxa"/>
          <w:left w:w="28" w:type="dxa"/>
          <w:bottom w:w="0" w:type="dxa"/>
          <w:right w:w="28" w:type="dxa"/>
        </w:tblCellMar>
      </w:tblPr>
      <w:tblGrid>
        <w:gridCol w:w="584"/>
        <w:gridCol w:w="760"/>
        <w:gridCol w:w="890"/>
        <w:gridCol w:w="942"/>
        <w:gridCol w:w="1127"/>
        <w:gridCol w:w="283"/>
        <w:gridCol w:w="908"/>
        <w:gridCol w:w="1014"/>
        <w:gridCol w:w="309"/>
        <w:gridCol w:w="265"/>
        <w:gridCol w:w="439"/>
        <w:gridCol w:w="144"/>
        <w:gridCol w:w="702"/>
        <w:gridCol w:w="701"/>
        <w:gridCol w:w="10"/>
        <w:gridCol w:w="10"/>
      </w:tblGrid>
      <w:tr>
        <w:tblPrEx>
          <w:tblCellMar>
            <w:top w:w="0" w:type="dxa"/>
            <w:left w:w="28" w:type="dxa"/>
            <w:bottom w:w="0" w:type="dxa"/>
            <w:right w:w="28" w:type="dxa"/>
          </w:tblCellMar>
        </w:tblPrEx>
        <w:trPr>
          <w:gridAfter w:val="1"/>
          <w:wAfter w:w="10" w:type="dxa"/>
          <w:trHeight w:val="30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34"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2021年农产品质量安全-农产品质量安全监测、检测能力提升及认证监管</w:t>
            </w:r>
          </w:p>
        </w:tc>
      </w:tr>
      <w:tr>
        <w:tblPrEx>
          <w:tblCellMar>
            <w:top w:w="0" w:type="dxa"/>
            <w:left w:w="28" w:type="dxa"/>
            <w:bottom w:w="0" w:type="dxa"/>
            <w:right w:w="28" w:type="dxa"/>
          </w:tblCellMar>
        </w:tblPrEx>
        <w:trPr>
          <w:gridAfter w:val="1"/>
          <w:wAfter w:w="10" w:type="dxa"/>
          <w:trHeight w:val="57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28" w:type="dxa"/>
            <w:bottom w:w="0" w:type="dxa"/>
            <w:right w:w="28" w:type="dxa"/>
          </w:tblCellMar>
        </w:tblPrEx>
        <w:trPr>
          <w:gridAfter w:val="1"/>
          <w:wAfter w:w="10" w:type="dxa"/>
          <w:trHeight w:val="30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黄宝勇</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3810381021</w:t>
            </w:r>
          </w:p>
        </w:tc>
      </w:tr>
      <w:tr>
        <w:tblPrEx>
          <w:tblCellMar>
            <w:top w:w="0" w:type="dxa"/>
            <w:left w:w="28" w:type="dxa"/>
            <w:bottom w:w="0" w:type="dxa"/>
            <w:right w:w="28" w:type="dxa"/>
          </w:tblCellMar>
        </w:tblPrEx>
        <w:trPr>
          <w:gridAfter w:val="1"/>
          <w:wAfter w:w="10" w:type="dxa"/>
          <w:trHeight w:val="567" w:hRule="exact"/>
          <w:jc w:val="center"/>
        </w:trPr>
        <w:tc>
          <w:tcPr>
            <w:tcW w:w="134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28" w:type="dxa"/>
            <w:bottom w:w="0" w:type="dxa"/>
            <w:right w:w="28" w:type="dxa"/>
          </w:tblCellMar>
        </w:tblPrEx>
        <w:trPr>
          <w:gridAfter w:val="1"/>
          <w:wAfter w:w="10" w:type="dxa"/>
          <w:trHeight w:val="286"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90.7732</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482.647649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98.3</w:t>
            </w:r>
            <w:r>
              <w:rPr>
                <w:rFonts w:hint="eastAsia" w:ascii="仿宋_GB2312" w:hAnsi="??" w:eastAsia="仿宋_GB2312" w:cs="仿宋_GB2312"/>
                <w:kern w:val="0"/>
                <w:lang w:val="en-US" w:eastAsia="zh-CN"/>
              </w:rPr>
              <w:t>5</w:t>
            </w:r>
            <w:r>
              <w:rPr>
                <w:rFonts w:ascii="仿宋_GB2312" w:hAnsi="??" w:eastAsia="仿宋_GB2312" w:cs="仿宋_GB2312"/>
                <w:kern w:val="0"/>
              </w:rPr>
              <w:t>%</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9</w:t>
            </w:r>
            <w:r>
              <w:rPr>
                <w:rFonts w:ascii="仿宋_GB2312" w:hAnsi="??" w:eastAsia="仿宋_GB2312" w:cs="仿宋_GB2312"/>
                <w:kern w:val="0"/>
              </w:rPr>
              <w:t>.8</w:t>
            </w:r>
            <w:r>
              <w:rPr>
                <w:rFonts w:hint="eastAsia" w:ascii="仿宋_GB2312" w:hAnsi="??" w:eastAsia="仿宋_GB2312" w:cs="仿宋_GB2312"/>
                <w:kern w:val="0"/>
                <w:lang w:val="en-US" w:eastAsia="zh-CN"/>
              </w:rPr>
              <w:t>3</w:t>
            </w:r>
          </w:p>
        </w:tc>
      </w:tr>
      <w:tr>
        <w:tblPrEx>
          <w:tblCellMar>
            <w:top w:w="0" w:type="dxa"/>
            <w:left w:w="28" w:type="dxa"/>
            <w:bottom w:w="0" w:type="dxa"/>
            <w:right w:w="28" w:type="dxa"/>
          </w:tblCellMar>
        </w:tblPrEx>
        <w:trPr>
          <w:gridAfter w:val="1"/>
          <w:wAfter w:w="10" w:type="dxa"/>
          <w:trHeight w:val="601"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90.7732</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highlight w:val="none"/>
              </w:rPr>
              <w:t>482.647649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98.3%</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gridAfter w:val="1"/>
          <w:wAfter w:w="10" w:type="dxa"/>
          <w:trHeight w:val="567"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gridAfter w:val="1"/>
          <w:wAfter w:w="10" w:type="dxa"/>
          <w:trHeight w:val="306"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trHeight w:val="548" w:hRule="exact"/>
          <w:jc w:val="center"/>
        </w:trPr>
        <w:tc>
          <w:tcPr>
            <w:tcW w:w="58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594"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28" w:type="dxa"/>
            <w:bottom w:w="0" w:type="dxa"/>
            <w:right w:w="28" w:type="dxa"/>
          </w:tblCellMar>
        </w:tblPrEx>
        <w:trPr>
          <w:trHeight w:val="5025" w:hRule="exact"/>
          <w:jc w:val="center"/>
        </w:trPr>
        <w:tc>
          <w:tcPr>
            <w:tcW w:w="58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全年共完成覆盖全市生产、贮藏、运输、市场环节共计840个种植业产品的风险监测；完成280个农产品的微生物风险监测；开展风险评估（农药残留）评估样品不少于300个，定向评估参数不少于220项；对供奥蔬菜开展常规检测，全年检测样品不少于1100个,组织开展检测机构能力验证，对有关检测机构考核监督检查，完成各区异地监督抽检复验样品174个，组织开展第五届农产品检测技能竞赛。以北京市建成“国家农产品质量安全市”和“北京农产品绿色优质安全示范区”为基础，继续平稳做好无公害农产品改革过渡期相关工作，大力推进无公害农产品向绿色食品和有机农产品转换，在相关区开展有机（绿色）示范区（带）建设，坚持政府推动与市场拉动相结合，以“提质量、树品牌、增效益、促发展”为工作目标，实现“十四五”开局之年的农业高质量发展。</w:t>
            </w:r>
          </w:p>
        </w:tc>
        <w:tc>
          <w:tcPr>
            <w:tcW w:w="3594"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全年共完成覆盖全市各环节共计84</w:t>
            </w:r>
            <w:r>
              <w:rPr>
                <w:rFonts w:ascii="仿宋_GB2312" w:hAnsi="??" w:eastAsia="仿宋_GB2312"/>
                <w:kern w:val="0"/>
              </w:rPr>
              <w:t>5</w:t>
            </w:r>
            <w:r>
              <w:rPr>
                <w:rFonts w:hint="eastAsia" w:ascii="仿宋_GB2312" w:hAnsi="??" w:eastAsia="仿宋_GB2312"/>
                <w:kern w:val="0"/>
              </w:rPr>
              <w:t>个种植业产品的风险监测；完成280个农产品的微生物风险监测；开展风险评估（农药残留）评估样品3</w:t>
            </w:r>
            <w:r>
              <w:rPr>
                <w:rFonts w:ascii="仿宋_GB2312" w:hAnsi="??" w:eastAsia="仿宋_GB2312"/>
                <w:kern w:val="0"/>
              </w:rPr>
              <w:t>56</w:t>
            </w:r>
            <w:r>
              <w:rPr>
                <w:rFonts w:hint="eastAsia" w:ascii="仿宋_GB2312" w:hAnsi="??" w:eastAsia="仿宋_GB2312"/>
                <w:kern w:val="0"/>
              </w:rPr>
              <w:t>个，定向评估参数220项；对供奥蔬菜开展常规检测，全年检测样品1</w:t>
            </w:r>
            <w:r>
              <w:rPr>
                <w:rFonts w:ascii="仿宋_GB2312" w:hAnsi="??" w:eastAsia="仿宋_GB2312"/>
                <w:kern w:val="0"/>
              </w:rPr>
              <w:t>388</w:t>
            </w:r>
            <w:r>
              <w:rPr>
                <w:rFonts w:hint="eastAsia" w:ascii="仿宋_GB2312" w:hAnsi="??" w:eastAsia="仿宋_GB2312"/>
                <w:kern w:val="0"/>
              </w:rPr>
              <w:t>个；组织完成了13家区级综合质检站和9家第三方检测机构能力验证工作；组织完成8家机构考核监督检查；完成各区异地监督抽检复验样品174个，组织完成了第五届农产品检测技能竞赛。通过认证监管相关工作，平稳做好无公害农产品改革过渡期相关工作，大力推进无公害农产品向绿色食品和有机农产品转换，开展有机（绿色）示范区（带）建设，坚持政府推动与市场拉动相结合，以“提质量、树品牌、增效益、促发展”为工作目标，实现“十四五”开局之年的农业高质量发展。</w:t>
            </w:r>
          </w:p>
        </w:tc>
      </w:tr>
      <w:tr>
        <w:tblPrEx>
          <w:tblCellMar>
            <w:top w:w="0" w:type="dxa"/>
            <w:left w:w="28" w:type="dxa"/>
            <w:bottom w:w="0" w:type="dxa"/>
            <w:right w:w="28" w:type="dxa"/>
          </w:tblCellMar>
        </w:tblPrEx>
        <w:trPr>
          <w:gridAfter w:val="2"/>
          <w:wAfter w:w="20" w:type="dxa"/>
          <w:trHeight w:val="830" w:hRule="exac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3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OLE_LINK1" w:colFirst="7" w:colLast="7"/>
          </w:p>
        </w:tc>
        <w:tc>
          <w:tcPr>
            <w:tcW w:w="7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风险监测、风险评估、奥运监测样品数</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2200个</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2589个</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检测参数种类</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3类</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3类</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考核监督检查的检测机构数量</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5家</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8家</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组织能力验证</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1次</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1次</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人员培训</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100人</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w:t>
            </w:r>
            <w:r>
              <w:rPr>
                <w:rFonts w:ascii="仿宋_GB2312" w:hAnsi="??" w:eastAsia="仿宋_GB2312" w:cs="仿宋_GB2312"/>
                <w:color w:val="000000"/>
                <w:kern w:val="0"/>
              </w:rPr>
              <w:t>03</w:t>
            </w:r>
            <w:r>
              <w:rPr>
                <w:rFonts w:hint="eastAsia" w:ascii="仿宋_GB2312" w:hAnsi="??" w:eastAsia="仿宋_GB2312" w:cs="仿宋_GB2312"/>
                <w:color w:val="000000"/>
                <w:kern w:val="0"/>
              </w:rPr>
              <w:t>人</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“优农管家”微信小程序监管生产主体覆盖面</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500家</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1334家</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5</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5</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编制2021年北京市“三品”统计年报</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制定2021年地理标志农产品保护工程实施方案</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检测结果准确率</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99.90%</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检测工作完成及时率</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宣传活动效果与预期效果的吻合度</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1014" w:type="dxa"/>
            <w:tcBorders>
              <w:top w:val="single" w:color="auto" w:sz="4" w:space="0"/>
              <w:left w:val="nil"/>
              <w:bottom w:val="single" w:color="auto" w:sz="4" w:space="0"/>
              <w:right w:val="single" w:color="auto" w:sz="4" w:space="0"/>
            </w:tcBorders>
          </w:tcPr>
          <w:p>
            <w:pPr>
              <w:rPr>
                <w:rFonts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实施方案制定完成时间</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3月底之前</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3月底完成</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935"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工作实施完成时间</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11月底之前</w:t>
            </w:r>
          </w:p>
        </w:tc>
        <w:tc>
          <w:tcPr>
            <w:tcW w:w="1014" w:type="dxa"/>
            <w:tcBorders>
              <w:top w:val="single" w:color="auto" w:sz="4" w:space="0"/>
              <w:left w:val="nil"/>
              <w:bottom w:val="single" w:color="auto" w:sz="4" w:space="0"/>
              <w:right w:val="single" w:color="auto" w:sz="4" w:space="0"/>
            </w:tcBorders>
          </w:tcPr>
          <w:p>
            <w:pPr>
              <w:rPr>
                <w:rFonts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11月底完成</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140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项目成本</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kern w:val="0"/>
                <w:lang w:val="en-US" w:eastAsia="zh-CN"/>
              </w:rPr>
            </w:pPr>
            <w:r>
              <w:rPr>
                <w:rFonts w:hint="eastAsia" w:ascii="仿宋_GB2312" w:hAnsi="??" w:eastAsia="仿宋_GB2312"/>
                <w:kern w:val="0"/>
                <w:lang w:val="en-US" w:eastAsia="zh-CN"/>
              </w:rPr>
              <w:t>不超过490.7732万元</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kern w:val="0"/>
                <w:lang w:val="en-US" w:eastAsia="zh-CN"/>
              </w:rPr>
            </w:pPr>
            <w:r>
              <w:rPr>
                <w:rFonts w:hint="eastAsia" w:ascii="仿宋_GB2312" w:hAnsi="??" w:eastAsia="仿宋_GB2312"/>
                <w:kern w:val="0"/>
                <w:lang w:val="en-US" w:eastAsia="zh-CN"/>
              </w:rPr>
              <w:t>项目实际支出482.647649万元</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因疫情差旅费未支出</w:t>
            </w:r>
          </w:p>
        </w:tc>
      </w:tr>
      <w:tr>
        <w:tblPrEx>
          <w:tblCellMar>
            <w:top w:w="0" w:type="dxa"/>
            <w:left w:w="28" w:type="dxa"/>
            <w:bottom w:w="0" w:type="dxa"/>
            <w:right w:w="28" w:type="dxa"/>
          </w:tblCellMar>
        </w:tblPrEx>
        <w:trPr>
          <w:gridAfter w:val="2"/>
          <w:wAfter w:w="20" w:type="dxa"/>
          <w:trHeight w:val="656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社会效益指标</w:t>
            </w:r>
          </w:p>
        </w:tc>
        <w:tc>
          <w:tcPr>
            <w:tcW w:w="2352" w:type="dxa"/>
            <w:gridSpan w:val="3"/>
            <w:tcBorders>
              <w:top w:val="single" w:color="auto" w:sz="4" w:space="0"/>
              <w:left w:val="nil"/>
              <w:bottom w:val="single" w:color="auto" w:sz="4" w:space="0"/>
              <w:right w:val="single" w:color="auto" w:sz="4" w:space="0"/>
            </w:tcBorders>
            <w:vAlign w:val="center"/>
          </w:tcPr>
          <w:p>
            <w:pPr>
              <w:rPr>
                <w:rFonts w:hint="eastAsia" w:ascii="仿宋" w:hAnsi="仿宋" w:eastAsia="仿宋"/>
                <w:sz w:val="20"/>
              </w:rPr>
            </w:pPr>
            <w:r>
              <w:rPr>
                <w:rFonts w:hint="eastAsia" w:ascii="仿宋" w:hAnsi="仿宋" w:eastAsia="仿宋"/>
                <w:sz w:val="20"/>
              </w:rPr>
              <w:t>对农产品质量安全可持续发展的影响</w:t>
            </w:r>
          </w:p>
        </w:tc>
        <w:tc>
          <w:tcPr>
            <w:tcW w:w="908" w:type="dxa"/>
            <w:tcBorders>
              <w:top w:val="single" w:color="auto" w:sz="4" w:space="0"/>
              <w:left w:val="nil"/>
              <w:bottom w:val="single" w:color="auto" w:sz="4" w:space="0"/>
              <w:right w:val="single" w:color="auto" w:sz="4" w:space="0"/>
            </w:tcBorders>
          </w:tcPr>
          <w:p>
            <w:pPr>
              <w:rPr>
                <w:rFonts w:hint="eastAsia" w:ascii="仿宋" w:hAnsi="仿宋" w:eastAsia="仿宋"/>
                <w:sz w:val="20"/>
              </w:rPr>
            </w:pPr>
            <w:r>
              <w:rPr>
                <w:rFonts w:hint="eastAsia" w:ascii="仿宋" w:hAnsi="仿宋" w:eastAsia="仿宋"/>
                <w:sz w:val="20"/>
              </w:rPr>
              <w:t>掌握北京市农产品质量安全水平，为监管提供技术支撑；验证风险隐患并提出减少风险的措施，科学引导安全消费；有效推动无公害农产品向绿色食品和有机农产品转换实现高质量发展。</w:t>
            </w:r>
          </w:p>
        </w:tc>
        <w:tc>
          <w:tcPr>
            <w:tcW w:w="1014" w:type="dxa"/>
            <w:tcBorders>
              <w:top w:val="single" w:color="auto" w:sz="4" w:space="0"/>
              <w:left w:val="nil"/>
              <w:bottom w:val="single" w:color="auto" w:sz="4" w:space="0"/>
              <w:right w:val="single" w:color="auto" w:sz="4" w:space="0"/>
            </w:tcBorders>
          </w:tcPr>
          <w:p>
            <w:pPr>
              <w:rPr>
                <w:rFonts w:ascii="仿宋" w:hAnsi="仿宋" w:eastAsia="仿宋"/>
                <w:sz w:val="20"/>
              </w:rPr>
            </w:pPr>
            <w:r>
              <w:rPr>
                <w:rFonts w:hint="eastAsia" w:ascii="仿宋" w:hAnsi="仿宋" w:eastAsia="仿宋"/>
                <w:sz w:val="20"/>
              </w:rPr>
              <w:t>掌握北京市农产品质量安全风险和残留水平，供奥蔬菜产品监测保障了冬奥会供应；区域特色品牌宣传推介，引导安全消费；推动绿色食品和有机农产品高质量发展。</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r>
              <w:rPr>
                <w:rFonts w:ascii="仿宋_GB2312" w:hAnsi="??" w:eastAsia="仿宋_GB2312"/>
                <w:kern w:val="0"/>
              </w:rPr>
              <w:t>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ascii="仿宋_GB2312" w:hAnsi="??" w:eastAsia="仿宋_GB2312"/>
                <w:kern w:val="0"/>
              </w:rPr>
              <w:t>6</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可为北京市农业实现高质量发展贡献更大力量。</w:t>
            </w:r>
          </w:p>
        </w:tc>
      </w:tr>
      <w:tr>
        <w:tblPrEx>
          <w:tblCellMar>
            <w:top w:w="0" w:type="dxa"/>
            <w:left w:w="28" w:type="dxa"/>
            <w:bottom w:w="0" w:type="dxa"/>
            <w:right w:w="28" w:type="dxa"/>
          </w:tblCellMar>
        </w:tblPrEx>
        <w:trPr>
          <w:gridAfter w:val="2"/>
          <w:wAfter w:w="20" w:type="dxa"/>
          <w:trHeight w:val="1003"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kern w:val="0"/>
              </w:rPr>
            </w:pPr>
            <w:r>
              <w:rPr>
                <w:rFonts w:hint="eastAsia" w:ascii="仿宋_GB2312" w:hAnsi="??" w:eastAsia="仿宋_GB2312" w:cs="仿宋_GB2312"/>
                <w:kern w:val="0"/>
              </w:rPr>
              <w:t>北京市农业农村局对数据准确性、总结报告满意度</w:t>
            </w:r>
          </w:p>
        </w:tc>
        <w:tc>
          <w:tcPr>
            <w:tcW w:w="908" w:type="dxa"/>
            <w:tcBorders>
              <w:top w:val="single" w:color="auto" w:sz="4" w:space="0"/>
              <w:left w:val="nil"/>
              <w:bottom w:val="single" w:color="auto" w:sz="4" w:space="0"/>
              <w:right w:val="single" w:color="auto" w:sz="4" w:space="0"/>
            </w:tcBorders>
            <w:vAlign w:val="center"/>
          </w:tcPr>
          <w:p>
            <w:pPr>
              <w:rPr>
                <w:rFonts w:hint="eastAsia" w:ascii="仿宋_GB2312" w:hAnsi="??" w:eastAsia="仿宋_GB2312" w:cs="仿宋_GB2312"/>
                <w:kern w:val="0"/>
              </w:rPr>
            </w:pPr>
            <w:r>
              <w:rPr>
                <w:rFonts w:hint="eastAsia" w:ascii="仿宋_GB2312" w:hAnsi="??" w:eastAsia="仿宋_GB2312" w:cs="仿宋_GB2312"/>
                <w:kern w:val="0"/>
              </w:rPr>
              <w:t>≥95%</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96%</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支撑资料归集呈现不充分</w:t>
            </w:r>
          </w:p>
        </w:tc>
      </w:tr>
      <w:bookmarkEnd w:id="0"/>
      <w:tr>
        <w:tblPrEx>
          <w:tblCellMar>
            <w:top w:w="0" w:type="dxa"/>
            <w:left w:w="28" w:type="dxa"/>
            <w:bottom w:w="0" w:type="dxa"/>
            <w:right w:w="28" w:type="dxa"/>
          </w:tblCellMar>
        </w:tblPrEx>
        <w:trPr>
          <w:gridAfter w:val="1"/>
          <w:wAfter w:w="10" w:type="dxa"/>
          <w:trHeight w:val="477" w:hRule="exact"/>
          <w:jc w:val="center"/>
        </w:trPr>
        <w:tc>
          <w:tcPr>
            <w:tcW w:w="650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3</w:t>
            </w:r>
            <w:r>
              <w:rPr>
                <w:rFonts w:ascii="仿宋_GB2312" w:hAnsi="??" w:eastAsia="仿宋_GB2312" w:cs="仿宋_GB2312"/>
                <w:color w:val="000000"/>
                <w:kern w:val="0"/>
              </w:rPr>
              <w:t>.8</w:t>
            </w:r>
            <w:r>
              <w:rPr>
                <w:rFonts w:hint="eastAsia" w:ascii="仿宋_GB2312" w:hAnsi="??" w:eastAsia="仿宋_GB2312" w:cs="仿宋_GB2312"/>
                <w:color w:val="000000"/>
                <w:kern w:val="0"/>
                <w:lang w:val="en-US" w:eastAsia="zh-CN"/>
              </w:rPr>
              <w:t>3</w:t>
            </w:r>
          </w:p>
        </w:tc>
        <w:tc>
          <w:tcPr>
            <w:tcW w:w="14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xOTMxYzk4NDYzNTVkNTY1MDk3ZDc3ZTFkNGUzMDgifQ=="/>
  </w:docVars>
  <w:rsids>
    <w:rsidRoot w:val="F77F09F4"/>
    <w:rsid w:val="000242C8"/>
    <w:rsid w:val="0002518D"/>
    <w:rsid w:val="0012791A"/>
    <w:rsid w:val="001C0BCE"/>
    <w:rsid w:val="00212B3B"/>
    <w:rsid w:val="002F5994"/>
    <w:rsid w:val="003435CB"/>
    <w:rsid w:val="003518EE"/>
    <w:rsid w:val="00353521"/>
    <w:rsid w:val="003920DA"/>
    <w:rsid w:val="003B3BC4"/>
    <w:rsid w:val="004210CB"/>
    <w:rsid w:val="00423891"/>
    <w:rsid w:val="004B7533"/>
    <w:rsid w:val="004C37F4"/>
    <w:rsid w:val="00564B9E"/>
    <w:rsid w:val="005851B6"/>
    <w:rsid w:val="006462FD"/>
    <w:rsid w:val="00683D58"/>
    <w:rsid w:val="007231BF"/>
    <w:rsid w:val="008C23CB"/>
    <w:rsid w:val="008F7B3D"/>
    <w:rsid w:val="00A943C6"/>
    <w:rsid w:val="00AF513F"/>
    <w:rsid w:val="00B45C57"/>
    <w:rsid w:val="00BC4D7D"/>
    <w:rsid w:val="00BE2B25"/>
    <w:rsid w:val="00C25372"/>
    <w:rsid w:val="00C6637B"/>
    <w:rsid w:val="00C75221"/>
    <w:rsid w:val="00CE69D0"/>
    <w:rsid w:val="00CF74DF"/>
    <w:rsid w:val="00D47C10"/>
    <w:rsid w:val="00D65E5D"/>
    <w:rsid w:val="00D7349D"/>
    <w:rsid w:val="00DD06DD"/>
    <w:rsid w:val="00E0430A"/>
    <w:rsid w:val="00E53254"/>
    <w:rsid w:val="00F22FEC"/>
    <w:rsid w:val="00F50591"/>
    <w:rsid w:val="00F6463F"/>
    <w:rsid w:val="00F67A40"/>
    <w:rsid w:val="00F83B39"/>
    <w:rsid w:val="00F916C6"/>
    <w:rsid w:val="1FA47700"/>
    <w:rsid w:val="312C18A5"/>
    <w:rsid w:val="37173543"/>
    <w:rsid w:val="39EE167E"/>
    <w:rsid w:val="3D493958"/>
    <w:rsid w:val="3FF76880"/>
    <w:rsid w:val="47B73BC5"/>
    <w:rsid w:val="4FF82FCD"/>
    <w:rsid w:val="593374EB"/>
    <w:rsid w:val="5B5C0169"/>
    <w:rsid w:val="5C1B251D"/>
    <w:rsid w:val="5CBB0F95"/>
    <w:rsid w:val="61C2089F"/>
    <w:rsid w:val="64CD2CB5"/>
    <w:rsid w:val="7AB7FF50"/>
    <w:rsid w:val="7B75534E"/>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qFormat/>
    <w:locked/>
    <w:uiPriority w:val="99"/>
    <w:rPr>
      <w:rFonts w:ascii="Cambria" w:hAnsi="Cambria" w:eastAsia="宋体" w:cs="Cambria"/>
      <w:b/>
      <w:bCs/>
      <w:sz w:val="32"/>
      <w:szCs w:val="32"/>
    </w:rPr>
  </w:style>
  <w:style w:type="character" w:customStyle="1" w:styleId="8">
    <w:name w:val="页脚 字符"/>
    <w:link w:val="3"/>
    <w:semiHidden/>
    <w:qFormat/>
    <w:locked/>
    <w:uiPriority w:val="99"/>
    <w:rPr>
      <w:rFonts w:ascii="Times New Roman" w:hAnsi="Times New Roman" w:cs="Times New Roman"/>
      <w:sz w:val="18"/>
      <w:szCs w:val="18"/>
    </w:rPr>
  </w:style>
  <w:style w:type="character" w:customStyle="1" w:styleId="9">
    <w:name w:val="页眉 字符"/>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1730</Words>
  <Characters>1960</Characters>
  <Lines>15</Lines>
  <Paragraphs>4</Paragraphs>
  <TotalTime>8</TotalTime>
  <ScaleCrop>false</ScaleCrop>
  <LinksUpToDate>false</LinksUpToDate>
  <CharactersWithSpaces>1997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波泼摸坲</cp:lastModifiedBy>
  <cp:lastPrinted>2022-03-24T10:01:00Z</cp:lastPrinted>
  <dcterms:modified xsi:type="dcterms:W3CDTF">2022-05-30T08:11:04Z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CD136EF3E79545DC8BA13D2F287A6B9F</vt:lpwstr>
  </property>
</Properties>
</file>