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85"/>
        <w:gridCol w:w="851"/>
        <w:gridCol w:w="850"/>
        <w:gridCol w:w="567"/>
        <w:gridCol w:w="33"/>
        <w:gridCol w:w="534"/>
        <w:gridCol w:w="275"/>
        <w:gridCol w:w="576"/>
        <w:gridCol w:w="8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2021年科技项目-北京设施土壤根结线虫检测技术试验示范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北京市植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物</w:t>
            </w:r>
            <w:r>
              <w:rPr>
                <w:rFonts w:hint="eastAsia" w:ascii="仿宋_GB2312" w:hAnsi="??" w:eastAsia="仿宋_GB2312"/>
                <w:kern w:val="0"/>
              </w:rPr>
              <w:t>保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护</w:t>
            </w:r>
            <w:r>
              <w:rPr>
                <w:rFonts w:hint="eastAsia" w:ascii="仿宋_GB2312" w:hAnsi="??" w:eastAsia="仿宋_GB2312"/>
                <w:kern w:val="0"/>
              </w:rPr>
              <w:t>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潘洪吉/卢志军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3693683207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全年预算数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  <w:r>
              <w:rPr>
                <w:rFonts w:ascii="仿宋_GB2312" w:hAnsi="??" w:eastAsia="仿宋_GB2312"/>
                <w:kern w:val="0"/>
              </w:rPr>
              <w:t>5.98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kern w:val="0"/>
              </w:rPr>
              <w:t>1.96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bookmarkStart w:id="0" w:name="_GoBack"/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kern w:val="0"/>
              </w:rPr>
              <w:t>.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  <w:r>
              <w:rPr>
                <w:rFonts w:ascii="仿宋_GB2312" w:hAnsi="??" w:eastAsia="仿宋_GB2312"/>
                <w:kern w:val="0"/>
              </w:rPr>
              <w:t>5.98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kern w:val="0"/>
              </w:rPr>
              <w:t>1.96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7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7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完成50个典型设施园区土壤根结线虫的检测，初步明确北京地区设施土壤中根结线虫种群和数量，绘制北京地区50个设施园区土壤根结线虫种群分布图。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完成5</w:t>
            </w:r>
            <w:r>
              <w:rPr>
                <w:rFonts w:ascii="仿宋_GB2312" w:hAnsi="??" w:eastAsia="仿宋_GB2312"/>
                <w:kern w:val="0"/>
              </w:rPr>
              <w:t>4</w:t>
            </w:r>
            <w:r>
              <w:rPr>
                <w:rFonts w:hint="eastAsia" w:ascii="仿宋_GB2312" w:hAnsi="??" w:eastAsia="仿宋_GB2312"/>
                <w:kern w:val="0"/>
              </w:rPr>
              <w:t>个典型设施园区土壤根结线虫的检测，明确了北京地区设施土壤中根结线虫种群和数量，绘制北京地区5</w:t>
            </w:r>
            <w:r>
              <w:rPr>
                <w:rFonts w:ascii="仿宋_GB2312" w:hAnsi="??" w:eastAsia="仿宋_GB2312"/>
                <w:kern w:val="0"/>
              </w:rPr>
              <w:t>4</w:t>
            </w:r>
            <w:r>
              <w:rPr>
                <w:rFonts w:hint="eastAsia" w:ascii="仿宋_GB2312" w:hAnsi="??" w:eastAsia="仿宋_GB2312"/>
                <w:kern w:val="0"/>
              </w:rPr>
              <w:t>个设施园区土壤根结线虫种群分布图。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土壤检测设施园区数量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50个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  <w:r>
              <w:rPr>
                <w:rFonts w:ascii="仿宋_GB2312" w:hAnsi="??" w:eastAsia="仿宋_GB2312" w:cs="仿宋_GB2312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kern w:val="0"/>
              </w:rPr>
              <w:t>个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设施检测土壤样品数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150个以上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62</w:t>
            </w:r>
            <w:r>
              <w:rPr>
                <w:rFonts w:hint="eastAsia" w:ascii="仿宋_GB2312" w:hAnsi="??" w:eastAsia="仿宋_GB2312" w:cs="仿宋_GB2312"/>
                <w:kern w:val="0"/>
              </w:rPr>
              <w:t>个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技术覆盖区县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13个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3</w:t>
            </w:r>
            <w:r>
              <w:rPr>
                <w:rFonts w:hint="eastAsia" w:ascii="仿宋_GB2312" w:hAnsi="??" w:eastAsia="仿宋_GB2312" w:cs="仿宋_GB2312"/>
                <w:kern w:val="0"/>
              </w:rPr>
              <w:t>个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可明确定量检测的微生物种群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1种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1种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发表文章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1-2篇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2篇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土壤病害检测准确率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≥90%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kern w:val="0"/>
              </w:rPr>
              <w:t>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任务完成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过半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6月底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6月底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全部完成任务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7-12月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7-12月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项目预算控制数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50.00万元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45</w:t>
            </w:r>
            <w:r>
              <w:rPr>
                <w:rFonts w:hint="eastAsia" w:ascii="仿宋_GB2312" w:hAnsi="??" w:eastAsia="仿宋_GB2312" w:cs="仿宋_GB2312"/>
                <w:kern w:val="0"/>
              </w:rPr>
              <w:t>.</w:t>
            </w:r>
            <w:r>
              <w:rPr>
                <w:rFonts w:ascii="仿宋_GB2312" w:hAnsi="??" w:eastAsia="仿宋_GB2312" w:cs="仿宋_GB2312"/>
                <w:kern w:val="0"/>
              </w:rPr>
              <w:t>98</w:t>
            </w:r>
            <w:r>
              <w:rPr>
                <w:rFonts w:hint="eastAsia" w:ascii="仿宋_GB2312" w:hAnsi="??" w:eastAsia="仿宋_GB2312" w:cs="仿宋_GB2312"/>
                <w:kern w:val="0"/>
              </w:rPr>
              <w:t>万元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土壤微生物检测成本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≦1000元/个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kern w:val="0"/>
              </w:rPr>
              <w:t>25.92</w:t>
            </w:r>
            <w:r>
              <w:rPr>
                <w:rFonts w:hint="eastAsia" w:ascii="仿宋_GB2312" w:hAnsi="??" w:eastAsia="仿宋_GB2312" w:cs="仿宋_GB2312"/>
                <w:kern w:val="0"/>
              </w:rPr>
              <w:t>元/个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效益效果方面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示范点根结线虫损失减少30%以上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示范点根结线虫损失减少30%以上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25</w:t>
            </w:r>
          </w:p>
        </w:tc>
        <w:tc>
          <w:tcPr>
            <w:tcW w:w="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24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效果资料量化程度不足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全市植保人员技术普及率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70%以上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70%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效果资料量化程度不足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技术服务对象满意度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≥90%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1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7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.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056CB4"/>
    <w:rsid w:val="0008178C"/>
    <w:rsid w:val="00206273"/>
    <w:rsid w:val="00212B3B"/>
    <w:rsid w:val="002C4577"/>
    <w:rsid w:val="002D0627"/>
    <w:rsid w:val="003518EE"/>
    <w:rsid w:val="0037312A"/>
    <w:rsid w:val="004444F6"/>
    <w:rsid w:val="004C05C4"/>
    <w:rsid w:val="004C37F4"/>
    <w:rsid w:val="004D54FF"/>
    <w:rsid w:val="00525B0C"/>
    <w:rsid w:val="005324DD"/>
    <w:rsid w:val="00586A68"/>
    <w:rsid w:val="005A05D7"/>
    <w:rsid w:val="005A1B8E"/>
    <w:rsid w:val="005F144A"/>
    <w:rsid w:val="006462FD"/>
    <w:rsid w:val="006E09A3"/>
    <w:rsid w:val="006E481F"/>
    <w:rsid w:val="00771047"/>
    <w:rsid w:val="007B6858"/>
    <w:rsid w:val="007E1FF0"/>
    <w:rsid w:val="008276CF"/>
    <w:rsid w:val="008A457E"/>
    <w:rsid w:val="008D2A39"/>
    <w:rsid w:val="008D47A1"/>
    <w:rsid w:val="008E7034"/>
    <w:rsid w:val="008F7B3D"/>
    <w:rsid w:val="009421C4"/>
    <w:rsid w:val="009F64EA"/>
    <w:rsid w:val="00A220AC"/>
    <w:rsid w:val="00A407D3"/>
    <w:rsid w:val="00A4209D"/>
    <w:rsid w:val="00A45157"/>
    <w:rsid w:val="00A75054"/>
    <w:rsid w:val="00AC1541"/>
    <w:rsid w:val="00AC1753"/>
    <w:rsid w:val="00AC2B51"/>
    <w:rsid w:val="00AF513F"/>
    <w:rsid w:val="00B21F57"/>
    <w:rsid w:val="00B411D7"/>
    <w:rsid w:val="00B53138"/>
    <w:rsid w:val="00B8227B"/>
    <w:rsid w:val="00BC4D7D"/>
    <w:rsid w:val="00C527E7"/>
    <w:rsid w:val="00C6637B"/>
    <w:rsid w:val="00C83A84"/>
    <w:rsid w:val="00D524DE"/>
    <w:rsid w:val="00D63B89"/>
    <w:rsid w:val="00D65E5D"/>
    <w:rsid w:val="00D7349D"/>
    <w:rsid w:val="00D810E1"/>
    <w:rsid w:val="00E06FED"/>
    <w:rsid w:val="00E53254"/>
    <w:rsid w:val="00ED5F05"/>
    <w:rsid w:val="00EE125C"/>
    <w:rsid w:val="00EF5F09"/>
    <w:rsid w:val="00F34677"/>
    <w:rsid w:val="00F40A60"/>
    <w:rsid w:val="00F67A40"/>
    <w:rsid w:val="00F80783"/>
    <w:rsid w:val="37173543"/>
    <w:rsid w:val="3FF76880"/>
    <w:rsid w:val="549B177A"/>
    <w:rsid w:val="5A1F19AA"/>
    <w:rsid w:val="5E303535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978</Words>
  <Characters>1137</Characters>
  <Lines>9</Lines>
  <Paragraphs>2</Paragraphs>
  <TotalTime>0</TotalTime>
  <ScaleCrop>false</ScaleCrop>
  <LinksUpToDate>false</LinksUpToDate>
  <CharactersWithSpaces>1174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WPS_1599385647</cp:lastModifiedBy>
  <cp:lastPrinted>2022-03-24T10:01:00Z</cp:lastPrinted>
  <dcterms:modified xsi:type="dcterms:W3CDTF">2022-05-27T05:54:04Z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36B6B56FC2FA4071BDF0893FFDF7C30F</vt:lpwstr>
  </property>
</Properties>
</file>