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??" w:eastAsia="仿宋_GB2312" w:cs="仿宋_GB2312"/>
          <w:sz w:val="28"/>
          <w:szCs w:val="28"/>
        </w:rPr>
        <w:t>2021</w:t>
      </w:r>
      <w:r>
        <w:rPr>
          <w:rFonts w:ascii="仿宋_GB2312" w:hAnsi="??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839"/>
        <w:gridCol w:w="720"/>
        <w:gridCol w:w="1248"/>
        <w:gridCol w:w="632"/>
        <w:gridCol w:w="495"/>
        <w:gridCol w:w="1255"/>
        <w:gridCol w:w="725"/>
        <w:gridCol w:w="466"/>
        <w:gridCol w:w="97"/>
        <w:gridCol w:w="420"/>
        <w:gridCol w:w="364"/>
        <w:gridCol w:w="482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61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2021年种子专项资金-北京市植物新品种权保护宣传示范及行业服务提升项目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3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07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北京市种子管理站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3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郭慧杰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07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62248615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2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9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2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145.2</w:t>
            </w:r>
          </w:p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137.6182</w:t>
            </w:r>
          </w:p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133.276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96</w:t>
            </w:r>
            <w:r>
              <w:rPr>
                <w:rFonts w:ascii="仿宋_GB2312" w:hAnsi="宋体" w:eastAsia="仿宋_GB2312" w:cs="宋体"/>
                <w:kern w:val="0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</w:rPr>
              <w:t>84</w:t>
            </w:r>
            <w:r>
              <w:rPr>
                <w:rFonts w:ascii="仿宋_GB2312" w:hAnsi="宋体" w:eastAsia="仿宋_GB2312" w:cs="宋体"/>
                <w:kern w:val="0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9.68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42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145.2</w:t>
            </w:r>
          </w:p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137.6182</w:t>
            </w:r>
          </w:p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133.276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2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2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26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一是制作印刷品种保护相关内容的宣传材料进行发放；二是开展新品种田间展示，并且在智农三六一网上开展品种线上展示；三是完成《北京市种子条例》的立法及宣传；四是举办南繁成果展；五是完成《北京现代种业发展三年行动计划实施效果评价（2020年）》；六是完成种子储备相关工作。</w:t>
            </w:r>
          </w:p>
        </w:tc>
        <w:tc>
          <w:tcPr>
            <w:tcW w:w="326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一是制作印刷500册品种保护相关内容的宣传材料进行发放；二是开展新品种田间展示，并且在智农三六一网上开展品种线上展示；四是完成《北京现代种业发展三年行动计划实施效果评价（2020年）》；五是完成种子储备相关工作；六是南繁成果展完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7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??" w:eastAsia="仿宋_GB2312"/>
                <w:kern w:val="0"/>
              </w:rPr>
              <w:t>印刷品种保护宣传册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lang w:val="en"/>
              </w:rPr>
            </w:pPr>
            <w:r>
              <w:rPr>
                <w:rFonts w:ascii="仿宋_GB2312" w:hAnsi="??" w:eastAsia="仿宋_GB2312"/>
                <w:kern w:val="0"/>
                <w:lang w:val="en"/>
              </w:rPr>
              <w:t>500</w:t>
            </w:r>
            <w:r>
              <w:rPr>
                <w:rFonts w:hint="eastAsia" w:ascii="仿宋_GB2312" w:hAnsi="??" w:eastAsia="仿宋_GB2312"/>
                <w:kern w:val="0"/>
              </w:rPr>
              <w:t>册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lang w:val="en"/>
              </w:rPr>
            </w:pPr>
            <w:r>
              <w:rPr>
                <w:rFonts w:ascii="仿宋_GB2312" w:hAnsi="??" w:eastAsia="仿宋_GB2312"/>
                <w:kern w:val="0"/>
                <w:lang w:val="en"/>
              </w:rPr>
              <w:t>500</w:t>
            </w:r>
            <w:r>
              <w:rPr>
                <w:rFonts w:hint="eastAsia" w:ascii="仿宋_GB2312" w:hAnsi="??" w:eastAsia="仿宋_GB2312"/>
                <w:kern w:val="0"/>
              </w:rPr>
              <w:t>册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</w:t>
            </w:r>
          </w:p>
        </w:tc>
        <w:tc>
          <w:tcPr>
            <w:tcW w:w="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指标2：</w:t>
            </w:r>
            <w:r>
              <w:rPr>
                <w:rFonts w:ascii="仿宋_GB2312" w:hAnsi="??" w:eastAsia="仿宋_GB2312"/>
                <w:kern w:val="0"/>
              </w:rPr>
              <w:t>开展品种展示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  <w:lang w:val="en"/>
              </w:rPr>
            </w:pPr>
            <w:r>
              <w:rPr>
                <w:rFonts w:ascii="仿宋_GB2312" w:hAnsi="??" w:eastAsia="仿宋_GB2312"/>
                <w:kern w:val="0"/>
                <w:highlight w:val="none"/>
                <w:lang w:val="en"/>
              </w:rPr>
              <w:t>40个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  <w:lang w:val="en"/>
              </w:rPr>
            </w:pPr>
            <w:r>
              <w:rPr>
                <w:rFonts w:ascii="仿宋_GB2312" w:hAnsi="??" w:eastAsia="仿宋_GB2312"/>
                <w:kern w:val="0"/>
                <w:highlight w:val="none"/>
                <w:lang w:val="en"/>
              </w:rPr>
              <w:t>45个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4</w:t>
            </w:r>
          </w:p>
        </w:tc>
        <w:tc>
          <w:tcPr>
            <w:tcW w:w="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4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指标3：</w:t>
            </w:r>
            <w:r>
              <w:rPr>
                <w:rFonts w:ascii="仿宋_GB2312" w:hAnsi="??" w:eastAsia="仿宋_GB2312"/>
                <w:kern w:val="0"/>
              </w:rPr>
              <w:t>提供《北京市种子条例》草案意见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1次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5次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4</w:t>
            </w:r>
          </w:p>
        </w:tc>
        <w:tc>
          <w:tcPr>
            <w:tcW w:w="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4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lang w:val="en"/>
              </w:rPr>
            </w:pPr>
            <w:r>
              <w:rPr>
                <w:rFonts w:hint="eastAsia" w:ascii="仿宋_GB2312" w:hAnsi="??" w:eastAsia="仿宋_GB2312"/>
                <w:kern w:val="0"/>
                <w:lang w:val="en"/>
              </w:rPr>
              <w:t>指标</w:t>
            </w:r>
            <w:r>
              <w:rPr>
                <w:rFonts w:hint="eastAsia" w:ascii="仿宋_GB2312" w:hAnsi="??" w:eastAsia="仿宋_GB2312"/>
                <w:kern w:val="0"/>
              </w:rPr>
              <w:t>4</w:t>
            </w:r>
            <w:r>
              <w:rPr>
                <w:rFonts w:hint="eastAsia" w:ascii="仿宋_GB2312" w:hAnsi="??" w:eastAsia="仿宋_GB2312"/>
                <w:kern w:val="0"/>
                <w:lang w:val="en"/>
              </w:rPr>
              <w:t>：</w:t>
            </w:r>
            <w:r>
              <w:rPr>
                <w:rFonts w:ascii="仿宋_GB2312" w:hAnsi="??" w:eastAsia="仿宋_GB2312"/>
                <w:kern w:val="0"/>
              </w:rPr>
              <w:t>举办南繁成果展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1个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1个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2</w:t>
            </w:r>
          </w:p>
        </w:tc>
        <w:tc>
          <w:tcPr>
            <w:tcW w:w="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/>
                <w:kern w:val="0"/>
                <w:highlight w:val="none"/>
              </w:rPr>
              <w:t>2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  <w:lang w:val="e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指标5：</w:t>
            </w:r>
            <w:r>
              <w:rPr>
                <w:rFonts w:ascii="仿宋_GB2312" w:hAnsi="??" w:eastAsia="仿宋_GB2312"/>
                <w:kern w:val="0"/>
              </w:rPr>
              <w:t>印刷《北京市种子条例》宣传册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500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</w:p>
        </w:tc>
        <w:tc>
          <w:tcPr>
            <w:tcW w:w="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原因是条例要上市人大会进行审议，因此当年没有颁布，最终在2022年1月份市人大会审议通过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lang w:val="en"/>
              </w:rPr>
            </w:pPr>
            <w:r>
              <w:rPr>
                <w:rFonts w:hint="eastAsia" w:ascii="仿宋_GB2312" w:hAnsi="??" w:eastAsia="仿宋_GB2312"/>
                <w:kern w:val="0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指标6：</w:t>
            </w:r>
            <w:r>
              <w:rPr>
                <w:rFonts w:ascii="仿宋_GB2312" w:hAnsi="??" w:eastAsia="仿宋_GB2312"/>
                <w:kern w:val="0"/>
              </w:rPr>
              <w:t>完成《北京现代种业发展三年行动计划实施效果评价（2020年）》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1份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</w:t>
            </w:r>
          </w:p>
        </w:tc>
        <w:tc>
          <w:tcPr>
            <w:tcW w:w="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指标7：</w:t>
            </w:r>
            <w:r>
              <w:rPr>
                <w:rFonts w:ascii="仿宋_GB2312" w:hAnsi="??" w:eastAsia="仿宋_GB2312"/>
                <w:kern w:val="0"/>
              </w:rPr>
              <w:t>开展储备期间检查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lang w:val="en"/>
              </w:rPr>
            </w:pPr>
            <w:r>
              <w:rPr>
                <w:rFonts w:ascii="仿宋_GB2312" w:hAnsi="??" w:eastAsia="仿宋_GB2312"/>
                <w:kern w:val="0"/>
                <w:lang w:val="en"/>
              </w:rPr>
              <w:t>1次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lang w:val="en"/>
              </w:rPr>
            </w:pPr>
            <w:r>
              <w:rPr>
                <w:rFonts w:ascii="仿宋_GB2312" w:hAnsi="??" w:eastAsia="仿宋_GB2312"/>
                <w:kern w:val="0"/>
                <w:lang w:val="en"/>
              </w:rPr>
              <w:t>1次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</w:p>
        </w:tc>
        <w:tc>
          <w:tcPr>
            <w:tcW w:w="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ascii="仿宋_GB2312" w:hAnsi="??" w:eastAsia="仿宋_GB2312"/>
                <w:kern w:val="0"/>
              </w:rPr>
              <w:t>品种展示标准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新品种品种权明确、品质突出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品种权明确，</w:t>
            </w:r>
            <w:r>
              <w:rPr>
                <w:rFonts w:ascii="仿宋_GB2312" w:hAnsi="??" w:eastAsia="仿宋_GB2312"/>
                <w:kern w:val="0"/>
              </w:rPr>
              <w:t>品质突出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</w:p>
        </w:tc>
        <w:tc>
          <w:tcPr>
            <w:tcW w:w="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指标2：</w:t>
            </w:r>
            <w:r>
              <w:rPr>
                <w:rFonts w:ascii="仿宋_GB2312" w:hAnsi="??" w:eastAsia="仿宋_GB2312"/>
                <w:kern w:val="0"/>
              </w:rPr>
              <w:t>品种权宣传册内容标准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包含新品种权申请、维权等内容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包含新品种权申请、维权等内容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</w:t>
            </w:r>
          </w:p>
        </w:tc>
        <w:tc>
          <w:tcPr>
            <w:tcW w:w="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指标3：</w:t>
            </w:r>
            <w:r>
              <w:rPr>
                <w:rFonts w:ascii="仿宋_GB2312" w:hAnsi="??" w:eastAsia="仿宋_GB2312"/>
                <w:kern w:val="0"/>
              </w:rPr>
              <w:t>《北京市种子条例》草案意见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包含法律专家、企业等人员意见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包含法律专家、企业等人员意见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</w:p>
        </w:tc>
        <w:tc>
          <w:tcPr>
            <w:tcW w:w="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yellow"/>
              </w:rPr>
            </w:pPr>
          </w:p>
        </w:tc>
        <w:tc>
          <w:tcPr>
            <w:tcW w:w="8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yellow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yellow"/>
              </w:rPr>
            </w:pPr>
          </w:p>
        </w:tc>
        <w:tc>
          <w:tcPr>
            <w:tcW w:w="1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指标4：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南繁成果展标准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包含南繁管理成果、品种繁育成果等方面的内容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包含南繁管理成果、品种繁育成果等方面的内容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指标5：</w:t>
            </w:r>
            <w:r>
              <w:rPr>
                <w:rFonts w:ascii="仿宋_GB2312" w:hAnsi="??" w:eastAsia="仿宋_GB2312"/>
                <w:kern w:val="0"/>
              </w:rPr>
              <w:t>《北京市种子条例》宣传册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包含完整条例内容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未印刷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</w:p>
        </w:tc>
        <w:tc>
          <w:tcPr>
            <w:tcW w:w="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原因是条例要上市人大会进行审议，因此当年没有颁布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指标6：</w:t>
            </w:r>
            <w:r>
              <w:rPr>
                <w:rFonts w:ascii="仿宋_GB2312" w:hAnsi="??" w:eastAsia="仿宋_GB2312"/>
                <w:kern w:val="0"/>
              </w:rPr>
              <w:t>《北京现代种业发展三年行动计划实施效果评价（2020年）》标准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包含评估行动计划落实情况和实施效果，有针对性的提出对策建议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达到年初目标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</w:p>
        </w:tc>
        <w:tc>
          <w:tcPr>
            <w:tcW w:w="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指标7：</w:t>
            </w:r>
            <w:r>
              <w:rPr>
                <w:rFonts w:ascii="仿宋_GB2312" w:hAnsi="??" w:eastAsia="仿宋_GB2312"/>
                <w:kern w:val="0"/>
              </w:rPr>
              <w:t>制定救灾备荒种子储备工作方案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方案科学合理，明确储备作物、承储企业确定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达到年初目标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</w:t>
            </w:r>
          </w:p>
        </w:tc>
        <w:tc>
          <w:tcPr>
            <w:tcW w:w="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ascii="仿宋_GB2312" w:hAnsi="??" w:eastAsia="仿宋_GB2312"/>
                <w:kern w:val="0"/>
              </w:rPr>
              <w:t>印制完成品种权宣传材料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9月底之前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</w:t>
            </w:r>
          </w:p>
        </w:tc>
        <w:tc>
          <w:tcPr>
            <w:tcW w:w="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指标2：</w:t>
            </w:r>
            <w:r>
              <w:rPr>
                <w:rFonts w:ascii="仿宋_GB2312" w:hAnsi="??" w:eastAsia="仿宋_GB2312"/>
                <w:kern w:val="0"/>
              </w:rPr>
              <w:t>品种展示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10月底之前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</w:t>
            </w:r>
          </w:p>
        </w:tc>
        <w:tc>
          <w:tcPr>
            <w:tcW w:w="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指标3：</w:t>
            </w:r>
            <w:r>
              <w:rPr>
                <w:rFonts w:ascii="仿宋_GB2312" w:hAnsi="??" w:eastAsia="仿宋_GB2312"/>
                <w:kern w:val="0"/>
              </w:rPr>
              <w:t>《北京市种子条例》的立法和宣传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12月底之前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未完成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</w:p>
        </w:tc>
        <w:tc>
          <w:tcPr>
            <w:tcW w:w="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原因是条例要上市人大会进行审议，因此当年没有颁布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指标4：</w:t>
            </w:r>
            <w:r>
              <w:rPr>
                <w:rFonts w:ascii="仿宋_GB2312" w:hAnsi="??" w:eastAsia="仿宋_GB2312"/>
                <w:kern w:val="0"/>
              </w:rPr>
              <w:t>南繁成果展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12月底之前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1</w:t>
            </w:r>
            <w:r>
              <w:rPr>
                <w:rFonts w:ascii="仿宋_GB2312" w:hAnsi="??" w:eastAsia="仿宋_GB2312"/>
                <w:kern w:val="0"/>
                <w:highlight w:val="none"/>
              </w:rPr>
              <w:t>2月底</w:t>
            </w:r>
            <w:r>
              <w:rPr>
                <w:rFonts w:hint="eastAsia" w:ascii="仿宋_GB2312" w:hAnsi="??" w:eastAsia="仿宋_GB2312"/>
                <w:kern w:val="0"/>
                <w:highlight w:val="none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1</w:t>
            </w:r>
          </w:p>
        </w:tc>
        <w:tc>
          <w:tcPr>
            <w:tcW w:w="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1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指标5：</w:t>
            </w:r>
            <w:r>
              <w:rPr>
                <w:rFonts w:ascii="仿宋_GB2312" w:hAnsi="??" w:eastAsia="仿宋_GB2312"/>
                <w:kern w:val="0"/>
              </w:rPr>
              <w:t>储备补贴资金拨付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10月底前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10月底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</w:t>
            </w:r>
          </w:p>
        </w:tc>
        <w:tc>
          <w:tcPr>
            <w:tcW w:w="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指标6：</w:t>
            </w:r>
            <w:r>
              <w:rPr>
                <w:rFonts w:ascii="仿宋_GB2312" w:hAnsi="??" w:eastAsia="仿宋_GB2312"/>
                <w:kern w:val="0"/>
              </w:rPr>
              <w:t>《北京现代种业发展三年行动计划实施效果评价（2020年）》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12月底之前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12月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</w:t>
            </w:r>
          </w:p>
        </w:tc>
        <w:tc>
          <w:tcPr>
            <w:tcW w:w="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项目预算控制数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137.6182万元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133.276万元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经济效益指标</w:t>
            </w:r>
          </w:p>
        </w:tc>
        <w:tc>
          <w:tcPr>
            <w:tcW w:w="1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企业人员新品种保护意识、品种权示范单位在全市企业的知名度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有效提高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有效提高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12</w:t>
            </w:r>
          </w:p>
        </w:tc>
        <w:tc>
          <w:tcPr>
            <w:tcW w:w="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12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三年行动计划实施效果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增强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增强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7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农业抗风险能力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提高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有效提高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生态效益指标</w:t>
            </w:r>
          </w:p>
        </w:tc>
        <w:tc>
          <w:tcPr>
            <w:tcW w:w="1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1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：种子法律法规的完整性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有效提高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未出台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</w:t>
            </w:r>
          </w:p>
        </w:tc>
        <w:tc>
          <w:tcPr>
            <w:tcW w:w="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原因是条例要上市人大会进行审议，因此当年没有颁布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指标2：北京南繁的影响力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有效提高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有效提高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1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：示范人员满意度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&gt;=80%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lang w:val="en"/>
              </w:rPr>
            </w:pPr>
            <w:r>
              <w:rPr>
                <w:rFonts w:ascii="仿宋_GB2312" w:hAnsi="??" w:eastAsia="仿宋_GB2312"/>
                <w:kern w:val="0"/>
                <w:lang w:val="en"/>
              </w:rPr>
              <w:t>10</w:t>
            </w:r>
          </w:p>
        </w:tc>
        <w:tc>
          <w:tcPr>
            <w:tcW w:w="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lang w:val="en"/>
              </w:rPr>
            </w:pPr>
            <w:r>
              <w:rPr>
                <w:rFonts w:ascii="仿宋_GB2312" w:hAnsi="??" w:eastAsia="仿宋_GB2312"/>
                <w:kern w:val="0"/>
                <w:lang w:val="en"/>
              </w:rPr>
              <w:t>10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9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  <w:t>5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.68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bookmarkStart w:id="0" w:name="_GoBack"/>
      <w:bookmarkEnd w:id="0"/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296545" cy="204470"/>
              <wp:effectExtent l="0" t="0" r="0" b="0"/>
              <wp:wrapNone/>
              <wp:docPr id="1" name="Text Box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654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4 -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025" o:spid="_x0000_s1026" o:spt="202" type="#_x0000_t202" style="position:absolute;left:0pt;margin-top:0pt;height:16.1pt;width:23.35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/ncOi0gAAAAMBAAAPAAAAAAAAAAEAIAAAACIAAABkcnMvZG93bnJldi54bWxQ&#10;SwECFAAUAAAACACHTuJAvCkwJP0BAAAEBAAADgAAAAAAAAABACAAAAAhAQAAZHJzL2Uyb0RvYy54&#10;bWxQSwUGAAAAAAYABgBZAQAAk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4 -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lkOWZiZjJmZWYwNWRjMTA4YzdkYjcxMGJlODQxZTEifQ=="/>
  </w:docVars>
  <w:rsids>
    <w:rsidRoot w:val="F77F09F4"/>
    <w:rsid w:val="00096292"/>
    <w:rsid w:val="001D5E88"/>
    <w:rsid w:val="00212B3B"/>
    <w:rsid w:val="00277FCD"/>
    <w:rsid w:val="003518EE"/>
    <w:rsid w:val="004977B2"/>
    <w:rsid w:val="004C37F4"/>
    <w:rsid w:val="006462FD"/>
    <w:rsid w:val="0078695F"/>
    <w:rsid w:val="008F7B3D"/>
    <w:rsid w:val="00AF513F"/>
    <w:rsid w:val="00B8515E"/>
    <w:rsid w:val="00BC4D7D"/>
    <w:rsid w:val="00BD4AAB"/>
    <w:rsid w:val="00C200EB"/>
    <w:rsid w:val="00C6637B"/>
    <w:rsid w:val="00D65E5D"/>
    <w:rsid w:val="00D7349D"/>
    <w:rsid w:val="00E53254"/>
    <w:rsid w:val="00F67A40"/>
    <w:rsid w:val="0F37345C"/>
    <w:rsid w:val="105F6285"/>
    <w:rsid w:val="15355F42"/>
    <w:rsid w:val="185C1EE0"/>
    <w:rsid w:val="2F5922B5"/>
    <w:rsid w:val="337F7BF3"/>
    <w:rsid w:val="34C24459"/>
    <w:rsid w:val="35C17F8A"/>
    <w:rsid w:val="37173543"/>
    <w:rsid w:val="3BAF01E0"/>
    <w:rsid w:val="3EBBE5B3"/>
    <w:rsid w:val="3FF76880"/>
    <w:rsid w:val="42AE5C8C"/>
    <w:rsid w:val="4A070CAF"/>
    <w:rsid w:val="565EFB9F"/>
    <w:rsid w:val="568578F8"/>
    <w:rsid w:val="5BF81B2D"/>
    <w:rsid w:val="5F7F3AA4"/>
    <w:rsid w:val="5FDFE63A"/>
    <w:rsid w:val="65E73F52"/>
    <w:rsid w:val="6C494D21"/>
    <w:rsid w:val="6DFB6FE9"/>
    <w:rsid w:val="6F6F0E45"/>
    <w:rsid w:val="72FE0E51"/>
    <w:rsid w:val="73C790C6"/>
    <w:rsid w:val="760E109B"/>
    <w:rsid w:val="76F9BB66"/>
    <w:rsid w:val="7AB7FF50"/>
    <w:rsid w:val="7BBE022A"/>
    <w:rsid w:val="7BFEB0DB"/>
    <w:rsid w:val="7C5E1AFB"/>
    <w:rsid w:val="7CFE189F"/>
    <w:rsid w:val="7F77C163"/>
    <w:rsid w:val="7F790848"/>
    <w:rsid w:val="7FF2CD91"/>
    <w:rsid w:val="7FFC63C3"/>
    <w:rsid w:val="7FFF4A11"/>
    <w:rsid w:val="7FFF703B"/>
    <w:rsid w:val="9F9C6F3E"/>
    <w:rsid w:val="CEFD3F3D"/>
    <w:rsid w:val="DB9BD037"/>
    <w:rsid w:val="EA3F77F2"/>
    <w:rsid w:val="EEFE5989"/>
    <w:rsid w:val="EFCF3EAE"/>
    <w:rsid w:val="F2FC2017"/>
    <w:rsid w:val="F5B764A2"/>
    <w:rsid w:val="F77F09F4"/>
    <w:rsid w:val="FBF47452"/>
    <w:rsid w:val="FF3B360C"/>
    <w:rsid w:val="FFD7BFFC"/>
    <w:rsid w:val="FFF66E27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1743</Words>
  <Characters>1921</Characters>
  <Lines>16</Lines>
  <Paragraphs>4</Paragraphs>
  <TotalTime>18</TotalTime>
  <ScaleCrop>false</ScaleCrop>
  <LinksUpToDate>false</LinksUpToDate>
  <CharactersWithSpaces>1962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2022-05-25T01:50:00Z</dcterms:created>
  <dc:creator>user</dc:creator>
  <cp:lastModifiedBy>Administrator</cp:lastModifiedBy>
  <cp:lastPrinted>2022-03-27T02:01:00Z</cp:lastPrinted>
  <dcterms:modified xsi:type="dcterms:W3CDTF">2022-05-25T12:37:13Z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5DC720BA08C24AF69006904266EB97F8</vt:lpwstr>
  </property>
</Properties>
</file>