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 年公务车辆更新购置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  <w:bookmarkStart w:id="0" w:name="_GoBack"/>
            <w:bookmarkEnd w:id="0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北京市水产技术推广站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刘鑫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13810187761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政采</w:t>
            </w:r>
            <w:r>
              <w:rPr>
                <w:rFonts w:hint="eastAsia" w:ascii="仿宋_GB2312" w:hAnsi="??" w:eastAsia="仿宋_GB2312"/>
                <w:kern w:val="0"/>
              </w:rPr>
              <w:t>更新购置公务用车（北京现代电动汽车）一辆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，不超过16.34万元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更新购置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一辆公务用车（北京现代电动汽车）。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更新购置公务车数量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公务车验收合格率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购置完成时限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2021年年底前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按时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完成车辆更新购置，确保车辆安全，保障业务工作顺利进行。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效益指标量化程度不足，资料归集不充分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职工满意度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满意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满意度资料归集不充分，指标量化程度不足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Meiryo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kYWExMzlhOWFkYmZiZTNjZjJkMDNiNDkxOTU1OG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3276271"/>
    <w:rsid w:val="18EC267E"/>
    <w:rsid w:val="20DA507D"/>
    <w:rsid w:val="2A2A4B01"/>
    <w:rsid w:val="2BE8158B"/>
    <w:rsid w:val="31D93C45"/>
    <w:rsid w:val="34D8702D"/>
    <w:rsid w:val="37173543"/>
    <w:rsid w:val="3D1221D1"/>
    <w:rsid w:val="3F5400A8"/>
    <w:rsid w:val="3FF76880"/>
    <w:rsid w:val="57597B88"/>
    <w:rsid w:val="592201F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783</Words>
  <Characters>920</Characters>
  <Lines>0</Lines>
  <Paragraphs>0</Paragraphs>
  <TotalTime>0</TotalTime>
  <ScaleCrop>false</ScaleCrop>
  <LinksUpToDate>false</LinksUpToDate>
  <CharactersWithSpaces>960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&amp;</cp:lastModifiedBy>
  <cp:lastPrinted>2022-03-24T10:01:00Z</cp:lastPrinted>
  <dcterms:modified xsi:type="dcterms:W3CDTF">2022-06-09T03:24:16Z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D4FD4BF106EE4164842FB479A5640E30</vt:lpwstr>
  </property>
</Properties>
</file>