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377" w:type="dxa"/>
        <w:jc w:val="center"/>
        <w:tblLayout w:type="fixed"/>
        <w:tblCellMar>
          <w:top w:w="0" w:type="dxa"/>
          <w:left w:w="108" w:type="dxa"/>
          <w:bottom w:w="0" w:type="dxa"/>
          <w:right w:w="108" w:type="dxa"/>
        </w:tblCellMar>
      </w:tblPr>
      <w:tblGrid>
        <w:gridCol w:w="585"/>
        <w:gridCol w:w="975"/>
        <w:gridCol w:w="1105"/>
        <w:gridCol w:w="727"/>
        <w:gridCol w:w="1127"/>
        <w:gridCol w:w="76"/>
        <w:gridCol w:w="914"/>
        <w:gridCol w:w="1354"/>
        <w:gridCol w:w="567"/>
        <w:gridCol w:w="288"/>
        <w:gridCol w:w="574"/>
        <w:gridCol w:w="272"/>
        <w:gridCol w:w="813"/>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1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2021年北京市农作物品种试验展示基地运行项目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9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5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北京市种子管理站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94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高勇</w:t>
            </w: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51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60790581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99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196.64</w:t>
            </w:r>
          </w:p>
        </w:tc>
        <w:tc>
          <w:tcPr>
            <w:tcW w:w="99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196.64</w:t>
            </w: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196.622947</w:t>
            </w: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99.99%</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r>
              <w:rPr>
                <w:rFonts w:ascii="仿宋_GB2312" w:hAnsi="??" w:eastAsia="仿宋_GB2312" w:cs="仿宋_GB2312"/>
                <w:kern w:val="0"/>
              </w:rPr>
              <w:t>.</w:t>
            </w:r>
            <w:r>
              <w:rPr>
                <w:rFonts w:hint="eastAsia" w:ascii="仿宋_GB2312" w:hAnsi="??" w:eastAsia="仿宋_GB2312" w:cs="仿宋_GB2312"/>
                <w:kern w:val="0"/>
                <w:lang w:val="en-US" w:eastAsia="zh-CN"/>
              </w:rPr>
              <w:t>00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196.64</w:t>
            </w:r>
          </w:p>
        </w:tc>
        <w:tc>
          <w:tcPr>
            <w:tcW w:w="99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196.64</w:t>
            </w: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196.622947</w:t>
            </w: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9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9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5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2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承担单位相应项目试验的种植管理，配合相关项目负责人，组织展示观摩活动，负责观摩现场的筹备工作，同时，做好基地日常管理、协调和安全保卫工作，维修维护现有设备设施，确保生产安全，保障相应项目的开展和基地的试验展示能力</w:t>
            </w:r>
          </w:p>
        </w:tc>
        <w:tc>
          <w:tcPr>
            <w:tcW w:w="386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完成主要农作物品种安全跟踪评价等</w:t>
            </w:r>
            <w:r>
              <w:rPr>
                <w:rFonts w:ascii="仿宋_GB2312" w:hAnsi="??" w:eastAsia="仿宋_GB2312"/>
                <w:kern w:val="0"/>
              </w:rPr>
              <w:t>项目试验，</w:t>
            </w:r>
            <w:r>
              <w:rPr>
                <w:rFonts w:hint="eastAsia" w:ascii="仿宋_GB2312" w:hAnsi="??" w:eastAsia="仿宋_GB2312"/>
                <w:kern w:val="0"/>
              </w:rPr>
              <w:t>筹备</w:t>
            </w:r>
            <w:r>
              <w:rPr>
                <w:rFonts w:ascii="仿宋_GB2312" w:hAnsi="??" w:eastAsia="仿宋_GB2312"/>
                <w:kern w:val="0"/>
              </w:rPr>
              <w:t>开展观摩活动</w:t>
            </w:r>
            <w:r>
              <w:rPr>
                <w:rFonts w:hint="eastAsia" w:ascii="仿宋_GB2312" w:hAnsi="??" w:eastAsia="仿宋_GB2312"/>
                <w:kern w:val="0"/>
              </w:rPr>
              <w:t>；</w:t>
            </w:r>
            <w:r>
              <w:rPr>
                <w:rFonts w:ascii="仿宋_GB2312" w:hAnsi="??" w:eastAsia="仿宋_GB2312"/>
                <w:kern w:val="0"/>
              </w:rPr>
              <w:t>做好基地日常管理，对现有设备设施进行维修维护，做好安全</w:t>
            </w:r>
            <w:r>
              <w:rPr>
                <w:rFonts w:hint="eastAsia" w:ascii="仿宋_GB2312" w:hAnsi="??" w:eastAsia="仿宋_GB2312"/>
                <w:kern w:val="0"/>
              </w:rPr>
              <w:t>保卫</w:t>
            </w:r>
            <w:r>
              <w:rPr>
                <w:rFonts w:ascii="仿宋_GB2312" w:hAnsi="??" w:eastAsia="仿宋_GB2312"/>
                <w:kern w:val="0"/>
              </w:rPr>
              <w:t>和疫情防控</w:t>
            </w:r>
            <w:r>
              <w:rPr>
                <w:rFonts w:hint="eastAsia" w:ascii="仿宋_GB2312" w:hAnsi="??" w:eastAsia="仿宋_GB2312"/>
                <w:kern w:val="0"/>
              </w:rPr>
              <w:t>工作</w:t>
            </w:r>
            <w:r>
              <w:rPr>
                <w:rFonts w:ascii="仿宋_GB2312" w:hAnsi="??" w:eastAsia="仿宋_GB2312"/>
                <w:kern w:val="0"/>
              </w:rPr>
              <w:t>，</w:t>
            </w:r>
            <w:r>
              <w:rPr>
                <w:rFonts w:hint="eastAsia" w:ascii="仿宋_GB2312" w:hAnsi="??" w:eastAsia="仿宋_GB2312"/>
                <w:kern w:val="0"/>
              </w:rPr>
              <w:t>有效</w:t>
            </w:r>
            <w:r>
              <w:rPr>
                <w:rFonts w:ascii="仿宋_GB2312" w:hAnsi="??" w:eastAsia="仿宋_GB2312"/>
                <w:kern w:val="0"/>
              </w:rPr>
              <w:t>保障基地试验开展</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7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完成基地工作年度报告</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1篇</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1篇</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筛选推介优质品种</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10个</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5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组织开展北京市主要农作物审定品种跟踪评价和非主要农作物等级品种适应性评价展示工作，并承担站内相关项目种植工作，做好管理和协调，保证作物正常生长</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组织开展北京市主要农作物审定品种跟踪评价和非主要农作物等级品种适应性评价展示工作，并承担站内相关项目种植工作，做好管理和协调，保证作物正常生长</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开展主要农作物品种安全跟踪评价、非主要农作物登记品种生产适应性评价、种子纯度田间种植鉴定和北京市冬小麦节水性鉴定等</w:t>
            </w:r>
            <w:r>
              <w:rPr>
                <w:rFonts w:ascii="仿宋_GB2312" w:hAnsi="??" w:eastAsia="仿宋_GB2312"/>
                <w:kern w:val="0"/>
              </w:rPr>
              <w:t>试验，做好管理，保证作物正常生长</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15</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14</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质量指标量化程度不足</w:t>
            </w:r>
          </w:p>
        </w:tc>
      </w:tr>
      <w:tr>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协调各项目完成种植规划方案，开展土地整理，完成育苗播种工作，做好基地管理协调工作</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1-6月</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1-6月</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做好栽培管理，开展展示观摩活动，完成年度总结</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7-12月</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7-12月</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项目预算控制数</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194.64万元</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ascii="仿宋_GB2312" w:hAnsi="??" w:eastAsia="仿宋_GB2312"/>
                <w:kern w:val="0"/>
              </w:rPr>
              <w:t>196.622947</w:t>
            </w:r>
            <w:r>
              <w:rPr>
                <w:rFonts w:hint="eastAsia" w:ascii="仿宋_GB2312" w:hAnsi="??" w:eastAsia="仿宋_GB2312"/>
                <w:kern w:val="0"/>
                <w:lang w:val="en-US" w:eastAsia="zh-CN"/>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通过开展品种评价展示和承担单位项目试验，筛选推介优质品种，从而加快我市优质品种的推广利用，加速农业科技成果转化</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rPr>
              <w:t>通过开展品种评价展示和承担单位项目试验，筛选推介优质品种，从而加快我市优质品种的推广利用，加速农业科技成果转化</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通过</w:t>
            </w:r>
            <w:r>
              <w:rPr>
                <w:rFonts w:ascii="仿宋_GB2312" w:hAnsi="??" w:eastAsia="仿宋_GB2312"/>
                <w:kern w:val="0"/>
              </w:rPr>
              <w:t>试验评价，筛选品种</w:t>
            </w:r>
            <w:r>
              <w:rPr>
                <w:rFonts w:hint="eastAsia" w:ascii="仿宋_GB2312" w:hAnsi="??" w:eastAsia="仿宋_GB2312"/>
                <w:kern w:val="0"/>
              </w:rPr>
              <w:t>1</w:t>
            </w:r>
            <w:r>
              <w:rPr>
                <w:rFonts w:ascii="仿宋_GB2312" w:hAnsi="??" w:eastAsia="仿宋_GB2312"/>
                <w:kern w:val="0"/>
              </w:rPr>
              <w:t>1</w:t>
            </w:r>
            <w:r>
              <w:rPr>
                <w:rFonts w:hint="eastAsia" w:ascii="仿宋_GB2312" w:hAnsi="??" w:eastAsia="仿宋_GB2312"/>
                <w:kern w:val="0"/>
              </w:rPr>
              <w:t>个</w:t>
            </w:r>
            <w:r>
              <w:rPr>
                <w:rFonts w:ascii="仿宋_GB2312" w:hAnsi="??" w:eastAsia="仿宋_GB2312"/>
                <w:kern w:val="0"/>
              </w:rPr>
              <w:t>，</w:t>
            </w:r>
            <w:r>
              <w:rPr>
                <w:rFonts w:hint="eastAsia" w:ascii="仿宋_GB2312" w:hAnsi="??" w:eastAsia="仿宋_GB2312"/>
                <w:kern w:val="0"/>
              </w:rPr>
              <w:t>为品种推广提供了科学依据</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29</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效益指标支撑材料不完善</w:t>
            </w:r>
          </w:p>
        </w:tc>
      </w:tr>
      <w:tr>
        <w:tblPrEx>
          <w:tblCellMar>
            <w:top w:w="0" w:type="dxa"/>
            <w:left w:w="108" w:type="dxa"/>
            <w:bottom w:w="0" w:type="dxa"/>
            <w:right w:w="108" w:type="dxa"/>
          </w:tblCellMar>
        </w:tblPrEx>
        <w:trPr>
          <w:trHeight w:val="6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93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育种企业和周边种植户满意度</w:t>
            </w:r>
          </w:p>
        </w:tc>
        <w:tc>
          <w:tcPr>
            <w:tcW w:w="91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color w:val="000000"/>
                <w:kern w:val="0"/>
              </w:rPr>
              <w:t>&gt;</w:t>
            </w:r>
            <w:r>
              <w:rPr>
                <w:rFonts w:hint="eastAsia" w:ascii="仿宋_GB2312" w:hAnsi="??" w:eastAsia="仿宋_GB2312"/>
                <w:kern w:val="0"/>
              </w:rPr>
              <w:t>90%</w:t>
            </w:r>
          </w:p>
        </w:tc>
        <w:tc>
          <w:tcPr>
            <w:tcW w:w="13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100</w:t>
            </w:r>
            <w:r>
              <w:rPr>
                <w:rFonts w:hint="eastAsia" w:ascii="仿宋_GB2312" w:hAnsi="??" w:eastAsia="仿宋_GB2312"/>
                <w:kern w:val="0"/>
              </w:rPr>
              <w:t>%</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86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86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8</w:t>
            </w:r>
            <w:r>
              <w:rPr>
                <w:rFonts w:ascii="仿宋_GB2312" w:hAnsi="??" w:eastAsia="仿宋_GB2312" w:cs="仿宋_GB2312"/>
                <w:color w:val="000000"/>
                <w:kern w:val="0"/>
              </w:rPr>
              <w:t>.</w:t>
            </w:r>
            <w:r>
              <w:rPr>
                <w:rFonts w:hint="eastAsia" w:ascii="仿宋_GB2312" w:hAnsi="??" w:eastAsia="仿宋_GB2312" w:cs="仿宋_GB2312"/>
                <w:color w:val="000000"/>
                <w:kern w:val="0"/>
                <w:lang w:val="en-US" w:eastAsia="zh-CN"/>
              </w:rPr>
              <w:t>00</w:t>
            </w:r>
          </w:p>
        </w:tc>
        <w:tc>
          <w:tcPr>
            <w:tcW w:w="10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9210B"/>
    <w:rsid w:val="00206C8B"/>
    <w:rsid w:val="00212B3B"/>
    <w:rsid w:val="002445CD"/>
    <w:rsid w:val="002B0831"/>
    <w:rsid w:val="002C4AD7"/>
    <w:rsid w:val="003518EE"/>
    <w:rsid w:val="003650F3"/>
    <w:rsid w:val="0043304B"/>
    <w:rsid w:val="00457014"/>
    <w:rsid w:val="004B0481"/>
    <w:rsid w:val="004C37F4"/>
    <w:rsid w:val="004D02C5"/>
    <w:rsid w:val="00524275"/>
    <w:rsid w:val="00526B8A"/>
    <w:rsid w:val="006462FD"/>
    <w:rsid w:val="006B74A9"/>
    <w:rsid w:val="006C02E5"/>
    <w:rsid w:val="006F4A5E"/>
    <w:rsid w:val="0075224D"/>
    <w:rsid w:val="00755B53"/>
    <w:rsid w:val="00796721"/>
    <w:rsid w:val="00810C52"/>
    <w:rsid w:val="00816C54"/>
    <w:rsid w:val="00874D60"/>
    <w:rsid w:val="008829C2"/>
    <w:rsid w:val="008F7B3D"/>
    <w:rsid w:val="008F7D9A"/>
    <w:rsid w:val="00964611"/>
    <w:rsid w:val="00965A5E"/>
    <w:rsid w:val="00A40B93"/>
    <w:rsid w:val="00A86FC5"/>
    <w:rsid w:val="00AF513F"/>
    <w:rsid w:val="00BC4D7D"/>
    <w:rsid w:val="00C364BA"/>
    <w:rsid w:val="00C6637B"/>
    <w:rsid w:val="00D65E5D"/>
    <w:rsid w:val="00D7349D"/>
    <w:rsid w:val="00E23535"/>
    <w:rsid w:val="00E35A85"/>
    <w:rsid w:val="00E53254"/>
    <w:rsid w:val="00ED2F31"/>
    <w:rsid w:val="00F67A40"/>
    <w:rsid w:val="00FC2E71"/>
    <w:rsid w:val="00FF5367"/>
    <w:rsid w:val="0114696D"/>
    <w:rsid w:val="059D4DD4"/>
    <w:rsid w:val="082C023D"/>
    <w:rsid w:val="239575E6"/>
    <w:rsid w:val="354D1B4F"/>
    <w:rsid w:val="37173543"/>
    <w:rsid w:val="3950579F"/>
    <w:rsid w:val="3FF76880"/>
    <w:rsid w:val="4D0478AD"/>
    <w:rsid w:val="56707D61"/>
    <w:rsid w:val="6ED07BE5"/>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locked/>
    <w:uiPriority w:val="99"/>
    <w:rPr>
      <w:rFonts w:ascii="Cambria" w:hAnsi="Cambria" w:eastAsia="宋体" w:cs="Cambria"/>
      <w:b/>
      <w:bCs/>
      <w:sz w:val="32"/>
      <w:szCs w:val="32"/>
    </w:rPr>
  </w:style>
  <w:style w:type="character" w:customStyle="1" w:styleId="8">
    <w:name w:val="页脚 Char"/>
    <w:link w:val="3"/>
    <w:semiHidden/>
    <w:locked/>
    <w:uiPriority w:val="99"/>
    <w:rPr>
      <w:rFonts w:ascii="Times New Roman" w:hAnsi="Times New Roman" w:cs="Times New Roman"/>
      <w:sz w:val="18"/>
      <w:szCs w:val="18"/>
    </w:rPr>
  </w:style>
  <w:style w:type="character" w:customStyle="1" w:styleId="9">
    <w:name w:val="页眉 Char"/>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1263</Words>
  <Characters>1425</Characters>
  <Lines>10</Lines>
  <Paragraphs>2</Paragraphs>
  <TotalTime>6</TotalTime>
  <ScaleCrop>false</ScaleCrop>
  <LinksUpToDate>false</LinksUpToDate>
  <CharactersWithSpaces>1464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2022-05-25T14:23:50Z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B6375D76007040F2BBAD5EF8140A50A6</vt:lpwstr>
  </property>
</Properties>
</file>