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32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3"/>
        <w:gridCol w:w="1120"/>
        <w:gridCol w:w="1142"/>
        <w:gridCol w:w="279"/>
        <w:gridCol w:w="250"/>
        <w:gridCol w:w="454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bookmarkStart w:id="0" w:name="_GoBack"/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项目名称</w:t>
            </w:r>
          </w:p>
        </w:tc>
        <w:tc>
          <w:tcPr>
            <w:tcW w:w="776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2021年农产品质量安全-监督抽查（饲料和生鲜乳）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主管部门</w:t>
            </w:r>
          </w:p>
        </w:tc>
        <w:tc>
          <w:tcPr>
            <w:tcW w:w="4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北京市农业农村局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北京市饲料监察所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项目负责人</w:t>
            </w:r>
          </w:p>
        </w:tc>
        <w:tc>
          <w:tcPr>
            <w:tcW w:w="4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刘钧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13901092526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项目资金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算数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算数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114.4582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3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993366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114.41823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993366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113.19805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98.93 %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9</w:t>
            </w:r>
            <w:r>
              <w:rPr>
                <w:rFonts w:ascii="仿宋_GB2312" w:hAnsi="??" w:eastAsia="仿宋_GB2312" w:cs="仿宋_GB2312"/>
                <w:kern w:val="0"/>
                <w:highlight w:val="none"/>
              </w:rPr>
              <w:t>.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114.4582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3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114.41823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113.19805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年度总体目标</w:t>
            </w:r>
          </w:p>
        </w:tc>
        <w:tc>
          <w:tcPr>
            <w:tcW w:w="50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预期目标</w:t>
            </w:r>
          </w:p>
        </w:tc>
        <w:tc>
          <w:tcPr>
            <w:tcW w:w="36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0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年度目标：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饲料产品：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 xml:space="preserve">（1）对全市饲料生产企业开展200%全覆盖的监督抽检，根据现有统计数据显示：本市实际开展生产的饲料企业90家（以实际情况为准），对每家饲料生产企业实施2次监督抽检，并对45家养殖企业的饲料产品质量安全监测，共计检测饲料样品775个，参数6155项次；                                                                                                                  （2）对饲料样品中的玉米赤霉烯酮等毒素和违禁添加物等开展风险监测。                                                                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生鲜乳产品：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对全市生乳收购站开展400%全覆盖的监督抽检，对奶牛养殖企业开展100%覆盖监督抽检，分四个季度实施，共抽取奶牛养殖企业105家次、生鲜乳收购站20家次、生鲜乳运输车135辆次共计280批次样品。</w:t>
            </w:r>
          </w:p>
        </w:tc>
        <w:tc>
          <w:tcPr>
            <w:tcW w:w="36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饲料产品：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（1）对全市饲料生产企业开展200%全覆盖的监督抽检，根据现有统计数据显示：本市实际开展生产的饲料企业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87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家，对每家饲料生产企业实施2次监督抽检，并对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58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家养殖企业的饲料产品质量安全监测，共计检测饲料样品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759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个，参数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6220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 xml:space="preserve">项次；                                                                                                                  （2）对饲料样品中的玉米赤霉烯酮等毒素和违禁添加物等开展风险监测。                                                                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生鲜乳产品：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对全市生乳收购站开展400%全覆盖的监督抽检，对奶牛养殖企业开展100%覆盖监督抽检，分四个季度实施，共抽取奶牛养殖企业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105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家次、生鲜乳收购站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100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家次、生鲜乳运输车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135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辆次共计280批次样品。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绩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效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二级指标</w:t>
            </w: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三级指标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指标值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完成值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分值</w:t>
            </w: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数量指标</w:t>
            </w: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：完成检验样品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饲料775，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生鲜乳280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饲料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759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，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生鲜乳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281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5</w:t>
            </w: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：总计项次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饲料6155，生鲜乳602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饲料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6220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生鲜乳6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03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5</w:t>
            </w: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……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质量指标</w:t>
            </w: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：抽取样品的覆盖率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本市饲料生产企业200%覆盖、奶牛养殖企业100%覆盖、生乳收购站400%全覆盖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本市饲料生产企业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200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%覆盖、奶牛养殖企业100%覆盖、生乳收购站400%全覆盖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5</w:t>
            </w: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：检测结果准确性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100%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</w:t>
            </w:r>
            <w:r>
              <w:rPr>
                <w:rFonts w:ascii="仿宋_GB2312" w:hAnsi="??" w:eastAsia="仿宋_GB2312"/>
                <w:kern w:val="0"/>
                <w:highlight w:val="none"/>
              </w:rPr>
              <w:t>00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5</w:t>
            </w: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……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时效指标</w:t>
            </w: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抽取样品时间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2021年1月~6月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2021年1月~6月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2021年1月~6月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7</w:t>
            </w: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监测结果时间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2021年7月~12月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2021年7月~12月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2021年7月~12月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8</w:t>
            </w: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……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成本指标</w:t>
            </w: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  <w:t>预算控制数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114.41823</w:t>
            </w:r>
            <w:r>
              <w:rPr>
                <w:rFonts w:hint="eastAsia"/>
                <w:color w:val="000000"/>
                <w:highlight w:val="none"/>
              </w:rPr>
              <w:t xml:space="preserve"> </w:t>
            </w:r>
            <w:r>
              <w:rPr>
                <w:rFonts w:hint="eastAsia"/>
                <w:color w:val="000000"/>
                <w:highlight w:val="none"/>
                <w:lang w:val="en-US" w:eastAsia="zh-CN"/>
              </w:rPr>
              <w:t>万元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color w:val="000000"/>
                <w:highlight w:val="none"/>
                <w:lang w:val="en-US" w:eastAsia="zh-CN"/>
              </w:rPr>
            </w:pPr>
            <w:r>
              <w:rPr>
                <w:rFonts w:ascii="仿宋_GB2312" w:hAnsi="??" w:eastAsia="仿宋_GB2312"/>
                <w:kern w:val="0"/>
                <w:highlight w:val="none"/>
              </w:rPr>
              <w:t>113.19805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万元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15</w:t>
            </w: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效益指标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30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eastAsia="zh-CN"/>
              </w:rPr>
              <w:t>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</w:t>
            </w: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……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</w:t>
            </w: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对本市饲料生产企业、奶牛养殖企业、生鲜乳收购站开展监督抽检，提前预警可能在饲料或生鲜乳中存在的有毒有害物质，有效降低我市食品安全事故发生；通过加强监督抽检力度，督促企业提升产品品质，使饲料产品质量安全检测合格率不低于95%；生鲜乳质量安全检测合格率不低于97%；从源头保证动物产品安全，避免农产品质量安全事件发生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对本市饲料生产企业、奶牛养殖企业、生鲜乳收购站开展监督抽检，提前预警可能在饲料或生鲜乳中存在的有毒有害物质，有效降低我市食品安全事故发生；通过加强监督抽检力度，督促企业提升产品品质，使饲料产品质量安全检测合格率不低于95%；生鲜乳质量安全检测合格率不低于97%；从源头保证动物产品安全，避免农产品质量安全事件发生。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对本市饲料生产企业、奶牛养殖企业、生鲜乳收购站开展监督抽检，提前预警可能在饲料或生鲜乳中存在的有毒有害物质，有效降低我市食品安全事故发生；通过加强监督抽检力度，督促企业提升产品品质，使饲料产品质量安全检测合格率不低于95%；生鲜乳质量安全检测合格率不低于97%；从源头保证动物产品安全，避免农产品质量安全事件发生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30</w:t>
            </w: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效益指标量化不足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……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</w:t>
            </w: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……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可持续影响指标</w:t>
            </w: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……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eastAsia="zh-CN"/>
              </w:rPr>
              <w:t>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服务对象满意度标</w:t>
            </w: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群众满意度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≥90%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≥90%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10</w:t>
            </w: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满意度支撑资料不足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……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总分</w:t>
            </w:r>
          </w:p>
        </w:tc>
        <w:tc>
          <w:tcPr>
            <w:tcW w:w="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100</w:t>
            </w:r>
          </w:p>
        </w:tc>
        <w:tc>
          <w:tcPr>
            <w:tcW w:w="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6.89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bookmarkEnd w:id="0"/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7.3pt;width:30.5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hTqR9EAAAADAQAADwAAAAAAAAABACAAAAAiAAAAZHJzL2Rvd25yZXYueG1sUEsBAhQA&#10;FAAAAAgAh07iQGgJO2f5AQAAAQQAAA4AAAAAAAAAAQAgAAAAIA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xMzgwODY2NjliZWY5OTI5NTE4MGFhMWJkZGI0NTUifQ=="/>
  </w:docVars>
  <w:rsids>
    <w:rsidRoot w:val="F77F09F4"/>
    <w:rsid w:val="00054F81"/>
    <w:rsid w:val="00126AFE"/>
    <w:rsid w:val="001920DC"/>
    <w:rsid w:val="001978FA"/>
    <w:rsid w:val="00212B3B"/>
    <w:rsid w:val="00326C35"/>
    <w:rsid w:val="003518EE"/>
    <w:rsid w:val="003F6082"/>
    <w:rsid w:val="004C37F4"/>
    <w:rsid w:val="005A239B"/>
    <w:rsid w:val="005B6EE5"/>
    <w:rsid w:val="006462FD"/>
    <w:rsid w:val="007A234A"/>
    <w:rsid w:val="007E38C3"/>
    <w:rsid w:val="00860443"/>
    <w:rsid w:val="008B0BAF"/>
    <w:rsid w:val="008F7B3D"/>
    <w:rsid w:val="009D2181"/>
    <w:rsid w:val="00A003D1"/>
    <w:rsid w:val="00AF513F"/>
    <w:rsid w:val="00B507A8"/>
    <w:rsid w:val="00BA6CEC"/>
    <w:rsid w:val="00BC4D7D"/>
    <w:rsid w:val="00C56D6D"/>
    <w:rsid w:val="00C6637B"/>
    <w:rsid w:val="00CD1F5B"/>
    <w:rsid w:val="00CE4A5A"/>
    <w:rsid w:val="00D65E5D"/>
    <w:rsid w:val="00D7349D"/>
    <w:rsid w:val="00DF00E1"/>
    <w:rsid w:val="00E53254"/>
    <w:rsid w:val="00F67A40"/>
    <w:rsid w:val="00F81FB0"/>
    <w:rsid w:val="00FB44CD"/>
    <w:rsid w:val="01EB0767"/>
    <w:rsid w:val="06014023"/>
    <w:rsid w:val="08D37661"/>
    <w:rsid w:val="140806B0"/>
    <w:rsid w:val="1D230C56"/>
    <w:rsid w:val="1D272459"/>
    <w:rsid w:val="1E6A4961"/>
    <w:rsid w:val="23405992"/>
    <w:rsid w:val="278247CB"/>
    <w:rsid w:val="2886547C"/>
    <w:rsid w:val="2F0C18AC"/>
    <w:rsid w:val="32221A6F"/>
    <w:rsid w:val="350C3926"/>
    <w:rsid w:val="37173543"/>
    <w:rsid w:val="3FF76880"/>
    <w:rsid w:val="445D7CFA"/>
    <w:rsid w:val="55397F6A"/>
    <w:rsid w:val="607D326E"/>
    <w:rsid w:val="6329551F"/>
    <w:rsid w:val="6ADF26D0"/>
    <w:rsid w:val="702A28D7"/>
    <w:rsid w:val="74B30D6E"/>
    <w:rsid w:val="76C70E7F"/>
    <w:rsid w:val="77FC1CA2"/>
    <w:rsid w:val="789F5726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0" w:semiHidden="0" w:name="Table Grid" w:locked="1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2006</Words>
  <Characters>2308</Characters>
  <Lines>21</Lines>
  <Paragraphs>5</Paragraphs>
  <TotalTime>8</TotalTime>
  <ScaleCrop>false</ScaleCrop>
  <LinksUpToDate>false</LinksUpToDate>
  <CharactersWithSpaces>2704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2022-05-23T03:00:00Z</dcterms:created>
  <dc:creator>user</dc:creator>
  <cp:lastModifiedBy>刘雅琳</cp:lastModifiedBy>
  <cp:lastPrinted>2022-03-24T10:01:00Z</cp:lastPrinted>
  <dcterms:modified xsi:type="dcterms:W3CDTF">2022-05-30T01:54:13Z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76ABCCFD6DD641089A561E9F0920739E</vt:lpwstr>
  </property>
</Properties>
</file>