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2021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015"/>
        <w:gridCol w:w="112"/>
        <w:gridCol w:w="1058"/>
        <w:gridCol w:w="922"/>
        <w:gridCol w:w="279"/>
        <w:gridCol w:w="284"/>
        <w:gridCol w:w="420"/>
        <w:gridCol w:w="315"/>
        <w:gridCol w:w="531"/>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2021年北京市农作物重大病虫害防控经费</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w:t>
            </w:r>
            <w:r>
              <w:rPr>
                <w:rFonts w:ascii="仿宋_GB2312" w:hAnsi="??" w:eastAsia="仿宋_GB2312"/>
                <w:kern w:val="0"/>
              </w:rPr>
              <w:t>农业农村局</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w:t>
            </w:r>
            <w:r>
              <w:rPr>
                <w:rFonts w:ascii="仿宋_GB2312" w:hAnsi="??" w:eastAsia="仿宋_GB2312"/>
                <w:kern w:val="0"/>
              </w:rPr>
              <w:t>植物保护站</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董杰</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62063655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58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122</w:t>
            </w:r>
          </w:p>
        </w:tc>
        <w:tc>
          <w:tcPr>
            <w:tcW w:w="10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120.6</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116.968856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96.98</w:t>
            </w:r>
            <w:r>
              <w:rPr>
                <w:rFonts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rPr>
              <w:t>9.</w:t>
            </w:r>
            <w:r>
              <w:rPr>
                <w:rFonts w:hint="eastAsia" w:ascii="仿宋_GB2312" w:hAnsi="??" w:eastAsia="仿宋_GB2312" w:cs="仿宋_GB2312"/>
                <w:kern w:val="0"/>
                <w:lang w:val="en-US" w:eastAsia="zh-CN"/>
              </w:rPr>
              <w:t>69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122</w:t>
            </w:r>
          </w:p>
        </w:tc>
        <w:tc>
          <w:tcPr>
            <w:tcW w:w="10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120.6</w:t>
            </w: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116.968856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96.98</w:t>
            </w:r>
            <w:r>
              <w:rPr>
                <w:rFonts w:ascii="仿宋_GB2312" w:hAnsi="??"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5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0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9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46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784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9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农作物重大病虫害得到有效控制，实现迁飞性重大病虫“不扩散、不成灾”，对粮食安全不造成大的影响，全市农田鼠害密度得到控制，绿色防控技术进一步推广，摸清重点病虫抗药性水平，出台2021年北京市农作物病虫害绿色防控产品推介名录，科学用药水平得到提升。</w:t>
            </w:r>
          </w:p>
        </w:tc>
        <w:tc>
          <w:tcPr>
            <w:tcW w:w="3461"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组织各区开展了小麦春季和中后期“一喷三防”、玉米“一封两杀” 、农田春季和秋季统一灭鼠等工作，重大病虫防治效果90%以上，重大病虫危害损失5%以下。全市</w:t>
            </w:r>
            <w:r>
              <w:rPr>
                <w:rFonts w:ascii="仿宋_GB2312" w:hAnsi="??" w:eastAsia="仿宋_GB2312"/>
                <w:kern w:val="0"/>
              </w:rPr>
              <w:t>农田</w:t>
            </w:r>
            <w:r>
              <w:rPr>
                <w:rFonts w:hint="eastAsia" w:ascii="仿宋_GB2312" w:hAnsi="??" w:eastAsia="仿宋_GB2312"/>
                <w:kern w:val="0"/>
              </w:rPr>
              <w:t>害鼠平均捕获率为0.2%，农田鼠害密度得到有效控制。</w:t>
            </w:r>
          </w:p>
          <w:p>
            <w:pPr>
              <w:widowControl/>
              <w:spacing w:line="240" w:lineRule="exact"/>
              <w:jc w:val="left"/>
              <w:rPr>
                <w:rFonts w:ascii="仿宋_GB2312" w:hAnsi="??" w:eastAsia="仿宋_GB2312"/>
                <w:kern w:val="0"/>
              </w:rPr>
            </w:pPr>
            <w:r>
              <w:rPr>
                <w:rFonts w:hint="eastAsia" w:ascii="仿宋_GB2312" w:hAnsi="??" w:eastAsia="仿宋_GB2312"/>
                <w:kern w:val="0"/>
              </w:rPr>
              <w:t>在房山、顺义、通州、大兴、密云5个区建立小麦病虫草鼠害综合防控技术示范区1.5万亩，在房山、顺义、延庆、大兴、密云、通州、海淀7个区建立玉米病虫害全程绿色防控技术示范区2.274万亩。</w:t>
            </w:r>
          </w:p>
          <w:p>
            <w:pPr>
              <w:widowControl/>
              <w:spacing w:line="240" w:lineRule="exact"/>
              <w:jc w:val="left"/>
              <w:rPr>
                <w:rFonts w:ascii="仿宋_GB2312" w:hAnsi="??" w:eastAsia="仿宋_GB2312"/>
                <w:kern w:val="0"/>
              </w:rPr>
            </w:pPr>
            <w:r>
              <w:rPr>
                <w:rFonts w:hint="eastAsia" w:ascii="仿宋_GB2312" w:hAnsi="??" w:eastAsia="仿宋_GB2312"/>
                <w:kern w:val="0"/>
              </w:rPr>
              <w:t>在延庆区示范应用蔬菜蓟马综合防控技术37亩，在昌平区示范应用蔬菜病虫害全程绿色防控与生态景观深度融合技术体系10亩，基地绿色防控技术覆盖率100%。</w:t>
            </w:r>
          </w:p>
          <w:p>
            <w:pPr>
              <w:widowControl/>
              <w:spacing w:line="240" w:lineRule="exact"/>
              <w:jc w:val="left"/>
              <w:rPr>
                <w:rFonts w:ascii="仿宋_GB2312" w:hAnsi="??" w:eastAsia="仿宋_GB2312"/>
                <w:kern w:val="0"/>
              </w:rPr>
            </w:pPr>
            <w:r>
              <w:rPr>
                <w:rFonts w:hint="eastAsia" w:ascii="仿宋_GB2312" w:hAnsi="??" w:eastAsia="仿宋_GB2312"/>
                <w:kern w:val="0"/>
              </w:rPr>
              <w:t>发布了《北京市2021年农作物病虫害绿色防控产品推荐名录》和《北京市2021年农作物病虫害绿色防控产品补贴名录》，分别发布绿色防控产品449个和439个。</w:t>
            </w:r>
          </w:p>
          <w:p>
            <w:pPr>
              <w:widowControl/>
              <w:spacing w:line="240" w:lineRule="exact"/>
              <w:jc w:val="left"/>
              <w:rPr>
                <w:rFonts w:ascii="仿宋_GB2312" w:hAnsi="??" w:eastAsia="仿宋_GB2312"/>
                <w:kern w:val="0"/>
              </w:rPr>
            </w:pPr>
            <w:r>
              <w:rPr>
                <w:rFonts w:hint="eastAsia" w:ascii="仿宋_GB2312" w:hAnsi="??" w:eastAsia="仿宋_GB2312"/>
                <w:kern w:val="0"/>
              </w:rPr>
              <w:t>2021年全市农药商品用量为957吨，折百量为276吨，分别较2020年减少6%和19%。单位耕地面积农药用量171.3克/亩，较2020年减少1.3%，科学用药水平得到提升。</w:t>
            </w:r>
          </w:p>
          <w:p>
            <w:pPr>
              <w:widowControl/>
              <w:spacing w:line="240" w:lineRule="exact"/>
              <w:jc w:val="left"/>
              <w:rPr>
                <w:rFonts w:ascii="仿宋_GB2312" w:hAnsi="??" w:eastAsia="仿宋_GB2312"/>
                <w:kern w:val="0"/>
              </w:rPr>
            </w:pPr>
            <w:r>
              <w:rPr>
                <w:rFonts w:hint="eastAsia" w:ascii="仿宋_GB2312" w:hAnsi="??" w:eastAsia="仿宋_GB2312"/>
                <w:kern w:val="0"/>
              </w:rPr>
              <w:t>全市共回收农药包装废弃物162.403吨，基本实现全回收。</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CellMar>
            <w:top w:w="0" w:type="dxa"/>
            <w:left w:w="108" w:type="dxa"/>
            <w:bottom w:w="0" w:type="dxa"/>
            <w:right w:w="108" w:type="dxa"/>
          </w:tblCellMar>
        </w:tblPrEx>
        <w:trPr>
          <w:trHeight w:val="8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bookmarkStart w:id="0" w:name="_GoBack" w:colFirst="3" w:colLast="8"/>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highlight w:val="none"/>
              </w:rPr>
            </w:pPr>
            <w:r>
              <w:rPr>
                <w:rFonts w:hint="eastAsia" w:ascii="仿宋_GB2312" w:hAnsi="??" w:eastAsia="仿宋_GB2312" w:cs="仿宋_GB2312"/>
                <w:color w:val="000000"/>
                <w:kern w:val="0"/>
                <w:highlight w:val="none"/>
              </w:rPr>
              <w:t>建立小麦病虫草鼠害综合防控技术示范区</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1000亩</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15000亩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2</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highlight w:val="none"/>
              </w:rPr>
            </w:pPr>
            <w:r>
              <w:rPr>
                <w:rFonts w:hint="eastAsia" w:ascii="仿宋_GB2312" w:hAnsi="??" w:eastAsia="仿宋_GB2312"/>
                <w:kern w:val="0"/>
                <w:highlight w:val="none"/>
              </w:rPr>
              <w:t>扩大示范面积</w:t>
            </w:r>
            <w:r>
              <w:rPr>
                <w:rFonts w:ascii="仿宋_GB2312" w:hAnsi="??" w:eastAsia="仿宋_GB2312"/>
                <w:kern w:val="0"/>
                <w:highlight w:val="none"/>
              </w:rPr>
              <w:t>，</w:t>
            </w:r>
            <w:r>
              <w:rPr>
                <w:rFonts w:hint="eastAsia" w:ascii="仿宋_GB2312" w:hAnsi="??" w:eastAsia="仿宋_GB2312"/>
                <w:kern w:val="0"/>
                <w:highlight w:val="none"/>
              </w:rPr>
              <w:t>提高</w:t>
            </w:r>
            <w:r>
              <w:rPr>
                <w:rFonts w:ascii="仿宋_GB2312" w:hAnsi="??" w:eastAsia="仿宋_GB2312"/>
                <w:kern w:val="0"/>
                <w:highlight w:val="none"/>
              </w:rPr>
              <w:t>示范效果</w:t>
            </w:r>
          </w:p>
        </w:tc>
      </w:tr>
      <w:tr>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highlight w:val="none"/>
              </w:rPr>
            </w:pPr>
            <w:r>
              <w:rPr>
                <w:rFonts w:hint="eastAsia" w:ascii="仿宋_GB2312" w:hAnsi="??" w:eastAsia="仿宋_GB2312" w:cs="仿宋_GB2312"/>
                <w:color w:val="000000"/>
                <w:kern w:val="0"/>
                <w:highlight w:val="none"/>
              </w:rPr>
              <w:t>示范应用玉米病虫害全程绿色防控技术</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1000亩</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22740亩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2</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扩大示范面积</w:t>
            </w:r>
            <w:r>
              <w:rPr>
                <w:rFonts w:ascii="仿宋_GB2312" w:hAnsi="??" w:eastAsia="仿宋_GB2312"/>
                <w:kern w:val="0"/>
                <w:highlight w:val="none"/>
              </w:rPr>
              <w:t>，</w:t>
            </w:r>
            <w:r>
              <w:rPr>
                <w:rFonts w:hint="eastAsia" w:ascii="仿宋_GB2312" w:hAnsi="??" w:eastAsia="仿宋_GB2312"/>
                <w:kern w:val="0"/>
                <w:highlight w:val="none"/>
              </w:rPr>
              <w:t>提高</w:t>
            </w:r>
            <w:r>
              <w:rPr>
                <w:rFonts w:ascii="仿宋_GB2312" w:hAnsi="??" w:eastAsia="仿宋_GB2312"/>
                <w:kern w:val="0"/>
                <w:highlight w:val="none"/>
              </w:rPr>
              <w:t>示范效果</w:t>
            </w:r>
          </w:p>
        </w:tc>
      </w:tr>
      <w:tr>
        <w:tblPrEx>
          <w:tblCellMar>
            <w:top w:w="0" w:type="dxa"/>
            <w:left w:w="108" w:type="dxa"/>
            <w:bottom w:w="0" w:type="dxa"/>
            <w:right w:w="108" w:type="dxa"/>
          </w:tblCellMar>
        </w:tblPrEx>
        <w:trPr>
          <w:trHeight w:val="16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highlight w:val="none"/>
              </w:rPr>
            </w:pPr>
            <w:r>
              <w:rPr>
                <w:rFonts w:hint="eastAsia" w:ascii="仿宋_GB2312" w:hAnsi="??" w:eastAsia="仿宋_GB2312" w:cs="仿宋_GB2312"/>
                <w:color w:val="000000"/>
                <w:kern w:val="0"/>
                <w:highlight w:val="none"/>
              </w:rPr>
              <w:t>示范应用蔬菜蓟马综合防控技术方案</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10亩</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37亩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highlight w:val="none"/>
              </w:rPr>
            </w:pPr>
            <w:r>
              <w:rPr>
                <w:rFonts w:hint="eastAsia" w:ascii="仿宋_GB2312" w:hAnsi="??" w:eastAsia="仿宋_GB2312"/>
                <w:kern w:val="0"/>
                <w:highlight w:val="none"/>
              </w:rPr>
              <w:t>2</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highlight w:val="none"/>
              </w:rPr>
            </w:pPr>
            <w:r>
              <w:rPr>
                <w:rFonts w:hint="eastAsia" w:ascii="仿宋_GB2312" w:hAnsi="??" w:eastAsia="仿宋_GB2312"/>
                <w:kern w:val="0"/>
                <w:highlight w:val="none"/>
              </w:rPr>
              <w:t>示范基地蓟马发生较重</w:t>
            </w:r>
            <w:r>
              <w:rPr>
                <w:rFonts w:ascii="仿宋_GB2312" w:hAnsi="??" w:eastAsia="仿宋_GB2312"/>
                <w:kern w:val="0"/>
                <w:highlight w:val="none"/>
              </w:rPr>
              <w:t>，</w:t>
            </w:r>
            <w:r>
              <w:rPr>
                <w:rFonts w:hint="eastAsia" w:ascii="仿宋_GB2312" w:hAnsi="??" w:eastAsia="仿宋_GB2312"/>
                <w:kern w:val="0"/>
                <w:highlight w:val="none"/>
              </w:rPr>
              <w:t>按照</w:t>
            </w:r>
            <w:r>
              <w:rPr>
                <w:rFonts w:ascii="仿宋_GB2312" w:hAnsi="??" w:eastAsia="仿宋_GB2312"/>
                <w:kern w:val="0"/>
                <w:highlight w:val="none"/>
              </w:rPr>
              <w:t>基地要求，扩大</w:t>
            </w:r>
            <w:r>
              <w:rPr>
                <w:rFonts w:hint="eastAsia" w:ascii="仿宋_GB2312" w:hAnsi="??" w:eastAsia="仿宋_GB2312"/>
                <w:kern w:val="0"/>
                <w:highlight w:val="none"/>
              </w:rPr>
              <w:t>示范</w:t>
            </w:r>
            <w:r>
              <w:rPr>
                <w:rFonts w:ascii="仿宋_GB2312" w:hAnsi="??" w:eastAsia="仿宋_GB2312"/>
                <w:kern w:val="0"/>
                <w:highlight w:val="none"/>
              </w:rPr>
              <w:t>面积</w:t>
            </w:r>
          </w:p>
        </w:tc>
      </w:tr>
      <w:bookmarkEnd w:id="0"/>
      <w:tr>
        <w:tblPrEx>
          <w:tblCellMar>
            <w:top w:w="0" w:type="dxa"/>
            <w:left w:w="108" w:type="dxa"/>
            <w:bottom w:w="0" w:type="dxa"/>
            <w:right w:w="108" w:type="dxa"/>
          </w:tblCellMar>
        </w:tblPrEx>
        <w:trPr>
          <w:trHeight w:val="9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示范应用蔬菜病虫害全程绿色防控与生态景观深度融合技术体系</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10亩</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开展绿色防控技术培训指导</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300人次</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633人次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形成北京市2021年农作物病虫害绿色防控产品推荐名录</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1份</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制定草地贪夜蛾、蓟马抗药性治理及田间用药技术措施</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1份</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编制全市农药使用情况报告</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1份</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6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重大病虫防治效果</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90%以上</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90%以上</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重大病虫危害损失</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5%以下</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5%以下</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农田鼠害密度</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3%以下</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0.2%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color w:val="000000"/>
                <w:kern w:val="0"/>
              </w:rPr>
            </w:pPr>
            <w:r>
              <w:rPr>
                <w:rFonts w:hint="eastAsia" w:ascii="仿宋_GB2312" w:hAnsi="??" w:eastAsia="仿宋_GB2312" w:cs="仿宋_GB2312"/>
                <w:color w:val="000000"/>
                <w:kern w:val="0"/>
              </w:rPr>
              <w:t>农田农药包装废弃物回收率</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90%</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基本全回收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项目完成时间</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rPr>
            </w:pPr>
            <w:r>
              <w:rPr>
                <w:rFonts w:ascii="仿宋_GB2312" w:hAnsi="宋体" w:eastAsia="仿宋_GB2312" w:cs="宋体"/>
                <w:color w:val="000000"/>
                <w:kern w:val="0"/>
              </w:rPr>
              <w:t>12</w:t>
            </w:r>
            <w:r>
              <w:rPr>
                <w:rFonts w:hint="eastAsia" w:ascii="仿宋_GB2312" w:hAnsi="宋体" w:eastAsia="仿宋_GB2312" w:cs="宋体"/>
                <w:color w:val="000000"/>
                <w:kern w:val="0"/>
              </w:rPr>
              <w:t>月底</w:t>
            </w:r>
            <w:r>
              <w:rPr>
                <w:rFonts w:ascii="仿宋_GB2312" w:hAnsi="宋体" w:eastAsia="仿宋_GB2312" w:cs="宋体"/>
                <w:color w:val="000000"/>
                <w:kern w:val="0"/>
              </w:rPr>
              <w:t>前</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rPr>
            </w:pPr>
            <w:r>
              <w:rPr>
                <w:rFonts w:ascii="仿宋_GB2312" w:hAnsi="宋体" w:eastAsia="仿宋_GB2312" w:cs="宋体"/>
                <w:color w:val="000000"/>
                <w:kern w:val="0"/>
              </w:rPr>
              <w:t>12</w:t>
            </w:r>
            <w:r>
              <w:rPr>
                <w:rFonts w:hint="eastAsia" w:ascii="仿宋_GB2312" w:hAnsi="宋体" w:eastAsia="仿宋_GB2312" w:cs="宋体"/>
                <w:color w:val="000000"/>
                <w:kern w:val="0"/>
              </w:rPr>
              <w:t>月底</w:t>
            </w:r>
            <w:r>
              <w:rPr>
                <w:rFonts w:ascii="仿宋_GB2312" w:hAnsi="宋体" w:eastAsia="仿宋_GB2312" w:cs="宋体"/>
                <w:color w:val="000000"/>
                <w:kern w:val="0"/>
              </w:rPr>
              <w:t>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rPr>
            </w:pPr>
            <w:r>
              <w:rPr>
                <w:rFonts w:hint="eastAsia" w:ascii="仿宋_GB2312" w:hAnsi="宋体" w:eastAsia="仿宋_GB2312" w:cs="宋体"/>
                <w:kern w:val="0"/>
              </w:rPr>
              <w:t>5</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rPr>
            </w:pPr>
            <w:r>
              <w:rPr>
                <w:rFonts w:hint="eastAsia" w:ascii="仿宋_GB2312" w:hAnsi="宋体" w:eastAsia="仿宋_GB2312" w:cs="宋体"/>
                <w:kern w:val="0"/>
              </w:rPr>
              <w:t>5</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宋体" w:eastAsia="仿宋_GB2312" w:cs="宋体"/>
                <w:color w:val="000000"/>
                <w:kern w:val="0"/>
              </w:rPr>
              <w:t>项目预算数</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120.6万元</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116.968856万元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5</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无</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28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kern w:val="0"/>
              </w:rPr>
              <w:t>农作物重大病虫害得到有效控制，实现迁飞性重大病虫“不扩散、不成灾”</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农作物重大病虫害得到有效控制，实现迁飞性重大病虫“不扩散、不成灾”</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农作物重大病虫害得到有效控制，实现迁飞性重大病虫“不扩散、不成灾”</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14</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效果资料量化程度不足</w:t>
            </w:r>
          </w:p>
        </w:tc>
      </w:tr>
      <w:tr>
        <w:tblPrEx>
          <w:tblCellMar>
            <w:top w:w="0" w:type="dxa"/>
            <w:left w:w="108" w:type="dxa"/>
            <w:bottom w:w="0" w:type="dxa"/>
            <w:right w:w="108" w:type="dxa"/>
          </w:tblCellMar>
        </w:tblPrEx>
        <w:trPr>
          <w:trHeight w:val="5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无</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9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kern w:val="0"/>
              </w:rPr>
              <w:t>科学用药水平得到提升</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科学用药水平得到提升</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科学用药水平得到提升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15</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w:t>
            </w:r>
            <w:r>
              <w:rPr>
                <w:rFonts w:hint="eastAsia" w:ascii="仿宋_GB2312" w:hAnsi="宋体" w:eastAsia="仿宋_GB2312" w:cs="宋体"/>
                <w:kern w:val="0"/>
              </w:rPr>
              <w:t>指</w:t>
            </w:r>
            <w:r>
              <w:rPr>
                <w:rFonts w:hint="eastAsia" w:ascii="仿宋_GB2312" w:hAnsi="??" w:eastAsia="仿宋_GB2312" w:cs="仿宋_GB2312"/>
                <w:kern w:val="0"/>
              </w:rPr>
              <w:t>标</w:t>
            </w:r>
          </w:p>
        </w:tc>
        <w:tc>
          <w:tcPr>
            <w:tcW w:w="174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农民满意度</w:t>
            </w:r>
          </w:p>
        </w:tc>
        <w:tc>
          <w:tcPr>
            <w:tcW w:w="11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92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10</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3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rPr>
              <w:t>95.</w:t>
            </w:r>
            <w:r>
              <w:rPr>
                <w:rFonts w:hint="eastAsia" w:ascii="仿宋_GB2312" w:hAnsi="??" w:eastAsia="仿宋_GB2312" w:cs="仿宋_GB2312"/>
                <w:color w:val="000000"/>
                <w:kern w:val="0"/>
                <w:lang w:val="en-US" w:eastAsia="zh-CN"/>
              </w:rPr>
              <w:t>69</w:t>
            </w:r>
          </w:p>
        </w:tc>
        <w:tc>
          <w:tcPr>
            <w:tcW w:w="124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3073" o:spid="_x0000_s3073"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2 -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BkZTY5NGRkMzBlYWZmZWQzOTJiYmU0MjQ2Mjc2ZWYifQ=="/>
  </w:docVars>
  <w:rsids>
    <w:rsidRoot w:val="F77F09F4"/>
    <w:rsid w:val="00212B3B"/>
    <w:rsid w:val="00245DDB"/>
    <w:rsid w:val="002D6F9B"/>
    <w:rsid w:val="002F4587"/>
    <w:rsid w:val="003518EE"/>
    <w:rsid w:val="00482A4A"/>
    <w:rsid w:val="004C37F4"/>
    <w:rsid w:val="00525B18"/>
    <w:rsid w:val="00530531"/>
    <w:rsid w:val="005E3EB4"/>
    <w:rsid w:val="006462FD"/>
    <w:rsid w:val="00672DBB"/>
    <w:rsid w:val="00673072"/>
    <w:rsid w:val="006F32CD"/>
    <w:rsid w:val="0071079E"/>
    <w:rsid w:val="007C0586"/>
    <w:rsid w:val="007E0644"/>
    <w:rsid w:val="008A74DA"/>
    <w:rsid w:val="008F7B3D"/>
    <w:rsid w:val="00910AF7"/>
    <w:rsid w:val="0096763E"/>
    <w:rsid w:val="00A6540F"/>
    <w:rsid w:val="00AF513F"/>
    <w:rsid w:val="00BB1810"/>
    <w:rsid w:val="00BC4D7D"/>
    <w:rsid w:val="00C45168"/>
    <w:rsid w:val="00C6637B"/>
    <w:rsid w:val="00C75735"/>
    <w:rsid w:val="00C83B64"/>
    <w:rsid w:val="00D65E5D"/>
    <w:rsid w:val="00D7349D"/>
    <w:rsid w:val="00E53254"/>
    <w:rsid w:val="00F17B81"/>
    <w:rsid w:val="00F648FA"/>
    <w:rsid w:val="00F67A40"/>
    <w:rsid w:val="00F77F32"/>
    <w:rsid w:val="00FF6307"/>
    <w:rsid w:val="24C32A03"/>
    <w:rsid w:val="37173543"/>
    <w:rsid w:val="3FF76880"/>
    <w:rsid w:val="42F345B7"/>
    <w:rsid w:val="43D16D37"/>
    <w:rsid w:val="64867BDB"/>
    <w:rsid w:val="799A32B5"/>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字符"/>
    <w:link w:val="2"/>
    <w:semiHidden/>
    <w:locked/>
    <w:uiPriority w:val="99"/>
    <w:rPr>
      <w:rFonts w:ascii="Cambria" w:hAnsi="Cambria" w:eastAsia="宋体" w:cs="Cambria"/>
      <w:b/>
      <w:bCs/>
      <w:sz w:val="32"/>
      <w:szCs w:val="32"/>
    </w:rPr>
  </w:style>
  <w:style w:type="character" w:customStyle="1" w:styleId="8">
    <w:name w:val="页脚 字符"/>
    <w:link w:val="3"/>
    <w:semiHidden/>
    <w:locked/>
    <w:uiPriority w:val="99"/>
    <w:rPr>
      <w:rFonts w:ascii="Times New Roman" w:hAnsi="Times New Roman" w:cs="Times New Roman"/>
      <w:sz w:val="18"/>
      <w:szCs w:val="18"/>
    </w:rPr>
  </w:style>
  <w:style w:type="character" w:customStyle="1" w:styleId="9">
    <w:name w:val="页眉 字符"/>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1616</Words>
  <Characters>1852</Characters>
  <Lines>15</Lines>
  <Paragraphs>4</Paragraphs>
  <TotalTime>9</TotalTime>
  <ScaleCrop>false</ScaleCrop>
  <LinksUpToDate>false</LinksUpToDate>
  <CharactersWithSpaces>1892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WPS_1599385647</cp:lastModifiedBy>
  <cp:lastPrinted>2022-03-24T10:01:00Z</cp:lastPrinted>
  <dcterms:modified xsi:type="dcterms:W3CDTF">2022-05-30T01:33:38Z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09653DA0E1984AB88D8B0D0DE8F75482</vt:lpwstr>
  </property>
</Properties>
</file>