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2021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10923" w:type="dxa"/>
        <w:jc w:val="center"/>
        <w:tblLayout w:type="fixed"/>
        <w:tblCellMar>
          <w:top w:w="0" w:type="dxa"/>
          <w:left w:w="108" w:type="dxa"/>
          <w:bottom w:w="0" w:type="dxa"/>
          <w:right w:w="108" w:type="dxa"/>
        </w:tblCellMar>
      </w:tblPr>
      <w:tblGrid>
        <w:gridCol w:w="583"/>
        <w:gridCol w:w="974"/>
        <w:gridCol w:w="1530"/>
        <w:gridCol w:w="751"/>
        <w:gridCol w:w="1363"/>
        <w:gridCol w:w="272"/>
        <w:gridCol w:w="1086"/>
        <w:gridCol w:w="1134"/>
        <w:gridCol w:w="618"/>
        <w:gridCol w:w="13"/>
        <w:gridCol w:w="220"/>
        <w:gridCol w:w="471"/>
        <w:gridCol w:w="96"/>
        <w:gridCol w:w="750"/>
        <w:gridCol w:w="1062"/>
      </w:tblGrid>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9366"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2021年生态农业建设-北京市农产品产地环境质量监测与评价</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北京市农业农村局</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50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周洁</w:t>
            </w:r>
          </w:p>
        </w:tc>
        <w:tc>
          <w:tcPr>
            <w:tcW w:w="176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59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82031854</w:t>
            </w:r>
          </w:p>
        </w:tc>
      </w:tr>
      <w:tr>
        <w:tblPrEx>
          <w:tblCellMar>
            <w:top w:w="0" w:type="dxa"/>
            <w:left w:w="108" w:type="dxa"/>
            <w:bottom w:w="0" w:type="dxa"/>
            <w:right w:w="108" w:type="dxa"/>
          </w:tblCellMar>
        </w:tblPrEx>
        <w:trPr>
          <w:trHeight w:val="567" w:hRule="exact"/>
          <w:jc w:val="center"/>
        </w:trPr>
        <w:tc>
          <w:tcPr>
            <w:tcW w:w="155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2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9.91</w:t>
            </w:r>
          </w:p>
        </w:tc>
      </w:tr>
      <w:tr>
        <w:tblPrEx>
          <w:tblCellMar>
            <w:top w:w="0" w:type="dxa"/>
            <w:left w:w="108" w:type="dxa"/>
            <w:bottom w:w="0" w:type="dxa"/>
            <w:right w:w="108" w:type="dxa"/>
          </w:tblCellMar>
        </w:tblPrEx>
        <w:trPr>
          <w:trHeight w:val="601"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138.253766</w:t>
            </w: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30.075766</w:t>
            </w: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128.898884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99.10%</w:t>
            </w: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w:t>
            </w:r>
          </w:p>
        </w:tc>
      </w:tr>
      <w:tr>
        <w:tblPrEx>
          <w:tblCellMar>
            <w:top w:w="0" w:type="dxa"/>
            <w:left w:w="108" w:type="dxa"/>
            <w:bottom w:w="0" w:type="dxa"/>
            <w:right w:w="108" w:type="dxa"/>
          </w:tblCellMar>
        </w:tblPrEx>
        <w:trPr>
          <w:trHeight w:val="567"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36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364"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976"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 w:eastAsia="仿宋_GB2312"/>
                <w:kern w:val="0"/>
              </w:rPr>
            </w:pPr>
            <w:r>
              <w:rPr>
                <w:rFonts w:hint="eastAsia" w:ascii="仿宋_GB2312" w:hAnsi="??" w:eastAsia="仿宋_GB2312"/>
                <w:kern w:val="0"/>
              </w:rPr>
              <w:t>布设610个市控点、</w:t>
            </w:r>
            <w:r>
              <w:rPr>
                <w:rFonts w:ascii="仿宋_GB2312" w:hAnsi="??" w:eastAsia="仿宋_GB2312"/>
                <w:kern w:val="0"/>
              </w:rPr>
              <w:t>4</w:t>
            </w:r>
            <w:r>
              <w:rPr>
                <w:rFonts w:hint="eastAsia" w:ascii="仿宋_GB2312" w:hAnsi="??" w:eastAsia="仿宋_GB2312"/>
                <w:kern w:val="0"/>
              </w:rPr>
              <w:t>个地膜残留监测点并开展重点风险区土壤和农产品协同抽查。</w:t>
            </w:r>
          </w:p>
        </w:tc>
        <w:tc>
          <w:tcPr>
            <w:tcW w:w="4364" w:type="dxa"/>
            <w:gridSpan w:val="8"/>
            <w:tcBorders>
              <w:top w:val="single" w:color="auto" w:sz="4" w:space="0"/>
              <w:left w:val="nil"/>
              <w:bottom w:val="single" w:color="auto" w:sz="4" w:space="0"/>
              <w:right w:val="single" w:color="auto" w:sz="4" w:space="0"/>
            </w:tcBorders>
            <w:vAlign w:val="center"/>
          </w:tcPr>
          <w:p>
            <w:pPr>
              <w:ind w:firstLine="420" w:firstLineChars="200"/>
              <w:rPr>
                <w:rFonts w:ascii="仿宋_GB2312" w:hAnsi="??" w:eastAsia="仿宋_GB2312"/>
                <w:kern w:val="0"/>
              </w:rPr>
            </w:pPr>
            <w:r>
              <w:rPr>
                <w:rFonts w:hint="eastAsia" w:ascii="仿宋_GB2312" w:hAnsi="??" w:eastAsia="仿宋_GB2312"/>
                <w:kern w:val="0"/>
              </w:rPr>
              <w:t>完成全市</w:t>
            </w:r>
            <w:r>
              <w:rPr>
                <w:rFonts w:ascii="仿宋_GB2312" w:hAnsi="??" w:eastAsia="仿宋_GB2312"/>
                <w:kern w:val="0"/>
              </w:rPr>
              <w:t>610个市控点</w:t>
            </w:r>
            <w:r>
              <w:rPr>
                <w:rFonts w:hint="eastAsia" w:ascii="仿宋_GB2312" w:hAnsi="??" w:eastAsia="仿宋_GB2312"/>
                <w:kern w:val="0"/>
              </w:rPr>
              <w:t>和4个地膜残留监测点的布设和年度监测；完成重点风险区抽样</w:t>
            </w:r>
            <w:r>
              <w:rPr>
                <w:rFonts w:ascii="仿宋_GB2312" w:hAnsi="??" w:eastAsia="仿宋_GB2312"/>
                <w:kern w:val="0"/>
              </w:rPr>
              <w:t>调查。</w:t>
            </w:r>
          </w:p>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5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市控点位布设数量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610个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w:t>
            </w:r>
            <w:r>
              <w:rPr>
                <w:rFonts w:ascii="仿宋_GB2312" w:hAnsi="??" w:eastAsia="仿宋_GB2312"/>
                <w:kern w:val="0"/>
              </w:rPr>
              <w:t>10</w:t>
            </w:r>
            <w:r>
              <w:rPr>
                <w:rFonts w:hint="eastAsia" w:ascii="仿宋_GB2312" w:hAnsi="??" w:eastAsia="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地膜残留监测点位数量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4</w:t>
            </w:r>
            <w:r>
              <w:rPr>
                <w:rFonts w:hint="eastAsia" w:ascii="仿宋_GB2312" w:hAnsi="??" w:eastAsia="仿宋_GB2312" w:cs="仿宋_GB2312"/>
                <w:kern w:val="0"/>
              </w:rPr>
              <w:t>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协同抽查点位数量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50个</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50个</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9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土壤采集制备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检测重金属指标的每份样本采集鲜土，并制备出10目、100目2种</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每份样本采集鲜土，并制备出10目、100目2种样本</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29"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农产品样本制备</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每份农产品制备A、B样各250g</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每份农产品制备A、B样各250g</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22"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重金属检测质控样本量</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达到5%</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达到5%</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42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完成样点布设、启动样本采集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6月底前完成点位布设，并启动样本采集</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6月底前完成点位布设，并启动样本采集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94"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完成检测样本的采集</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1</w:t>
            </w:r>
            <w:r>
              <w:rPr>
                <w:rFonts w:hint="eastAsia" w:ascii="仿宋_GB2312" w:hAnsi="??" w:eastAsia="仿宋_GB2312"/>
                <w:kern w:val="0"/>
              </w:rPr>
              <w:t>月底前完成</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eastAsia="仿宋_GB2312"/>
                <w:kern w:val="0"/>
              </w:rPr>
            </w:pPr>
            <w:r>
              <w:rPr>
                <w:rFonts w:eastAsia="仿宋_GB2312"/>
                <w:kern w:val="0"/>
              </w:rPr>
              <w:t>4</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由于疫情和机构改革，部分区采样滞后</w:t>
            </w:r>
          </w:p>
        </w:tc>
      </w:tr>
      <w:tr>
        <w:tblPrEx>
          <w:tblCellMar>
            <w:top w:w="0" w:type="dxa"/>
            <w:left w:w="108" w:type="dxa"/>
            <w:bottom w:w="0" w:type="dxa"/>
            <w:right w:w="108" w:type="dxa"/>
          </w:tblCellMar>
        </w:tblPrEx>
        <w:trPr>
          <w:trHeight w:val="169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项目预算控制数</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按预算支出，成本不超过项目资金</w:t>
            </w:r>
            <w:r>
              <w:rPr>
                <w:rFonts w:hint="eastAsia" w:ascii="仿宋_GB2312" w:hAnsi="??" w:eastAsia="仿宋_GB2312"/>
                <w:kern w:val="0"/>
              </w:rPr>
              <w:t>1</w:t>
            </w:r>
            <w:r>
              <w:rPr>
                <w:rFonts w:ascii="仿宋_GB2312" w:hAnsi="??" w:eastAsia="仿宋_GB2312"/>
                <w:kern w:val="0"/>
              </w:rPr>
              <w:t>30.075766</w:t>
            </w:r>
            <w:r>
              <w:rPr>
                <w:rFonts w:hint="eastAsia" w:ascii="仿宋_GB2312" w:hAnsi="??" w:eastAsia="仿宋_GB2312" w:cs="仿宋_GB2312"/>
                <w:kern w:val="0"/>
              </w:rPr>
              <w:t>万元</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全年执行数128.898884万元</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rPr>
              <w:t>受疫情影响未支出差旅等费用，已按照财政要求退回，节约项目资金。</w:t>
            </w:r>
          </w:p>
        </w:tc>
      </w:tr>
      <w:tr>
        <w:tblPrEx>
          <w:tblCellMar>
            <w:top w:w="0" w:type="dxa"/>
            <w:left w:w="108" w:type="dxa"/>
            <w:bottom w:w="0" w:type="dxa"/>
            <w:right w:w="108" w:type="dxa"/>
          </w:tblCellMar>
        </w:tblPrEx>
        <w:trPr>
          <w:trHeight w:val="155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 w:eastAsia="仿宋_GB2312" w:cs="仿宋_GB2312"/>
                <w:kern w:val="0"/>
              </w:rPr>
            </w:pPr>
            <w:r>
              <w:rPr>
                <w:rFonts w:hint="eastAsia" w:ascii="仿宋_GB2312" w:hAnsi="??" w:eastAsia="仿宋_GB2312" w:cs="仿宋_GB2312"/>
                <w:kern w:val="0"/>
              </w:rPr>
              <w:t>保障农产品质量安全</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eastAsia="仿宋_GB2312"/>
                <w:kern w:val="0"/>
              </w:rPr>
              <w:t>完成产地环境质量监测评价</w:t>
            </w:r>
            <w:r>
              <w:rPr>
                <w:rFonts w:eastAsia="仿宋_GB2312"/>
                <w:kern w:val="0"/>
              </w:rPr>
              <w:t>，保障农产品质量安全</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4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生态效益指标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kern w:val="0"/>
              </w:rPr>
              <w:t>预估环境风险</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eastAsia="仿宋_GB2312"/>
                <w:kern w:val="0"/>
              </w:rPr>
              <w:t>达到预期目标</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eastAsia="仿宋_GB2312"/>
                <w:kern w:val="0"/>
              </w:rPr>
              <w:t>完成重点风险区抽查调查</w:t>
            </w:r>
            <w:r>
              <w:rPr>
                <w:rFonts w:eastAsia="仿宋_GB2312"/>
                <w:kern w:val="0"/>
              </w:rPr>
              <w:t>，</w:t>
            </w:r>
            <w:r>
              <w:rPr>
                <w:rFonts w:hint="eastAsia" w:eastAsia="仿宋_GB2312"/>
                <w:kern w:val="0"/>
              </w:rPr>
              <w:t>为预判产地环境风险提供数据支持</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15</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3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5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38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hint="eastAsia" w:ascii="仿宋_GB2312" w:hAnsi="??" w:eastAsia="仿宋_GB2312" w:cs="仿宋_GB2312"/>
                <w:kern w:val="0"/>
              </w:rPr>
              <w:t>满足北京市农业局对项目的相关要求</w:t>
            </w:r>
          </w:p>
        </w:tc>
        <w:tc>
          <w:tcPr>
            <w:tcW w:w="108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满意度达80%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局主管处室生态建设处满意度为非常满意。</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10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eastAsia="仿宋_GB2312"/>
                <w:kern w:val="0"/>
              </w:rPr>
              <w:t>9</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按照主管处室要求进一步总结有效的工作措施和典型案例并做好工作共享。</w:t>
            </w:r>
          </w:p>
        </w:tc>
      </w:tr>
      <w:tr>
        <w:tblPrEx>
          <w:tblCellMar>
            <w:top w:w="0" w:type="dxa"/>
            <w:left w:w="108" w:type="dxa"/>
            <w:bottom w:w="0" w:type="dxa"/>
            <w:right w:w="108" w:type="dxa"/>
          </w:tblCellMar>
        </w:tblPrEx>
        <w:trPr>
          <w:trHeight w:val="477" w:hRule="exact"/>
          <w:jc w:val="center"/>
        </w:trPr>
        <w:tc>
          <w:tcPr>
            <w:tcW w:w="769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85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97.91</w:t>
            </w:r>
          </w:p>
        </w:tc>
        <w:tc>
          <w:tcPr>
            <w:tcW w:w="18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17696"/>
    <w:rsid w:val="00212B3B"/>
    <w:rsid w:val="0023761A"/>
    <w:rsid w:val="00334257"/>
    <w:rsid w:val="003518EE"/>
    <w:rsid w:val="004C37F4"/>
    <w:rsid w:val="0057720C"/>
    <w:rsid w:val="005D0247"/>
    <w:rsid w:val="006357C8"/>
    <w:rsid w:val="006462FD"/>
    <w:rsid w:val="006F6686"/>
    <w:rsid w:val="0080350B"/>
    <w:rsid w:val="008F7B3D"/>
    <w:rsid w:val="00931CDF"/>
    <w:rsid w:val="00996B48"/>
    <w:rsid w:val="00A06505"/>
    <w:rsid w:val="00A37A90"/>
    <w:rsid w:val="00AF513F"/>
    <w:rsid w:val="00B00BEE"/>
    <w:rsid w:val="00B632E5"/>
    <w:rsid w:val="00BC4D7D"/>
    <w:rsid w:val="00C6637B"/>
    <w:rsid w:val="00C7234B"/>
    <w:rsid w:val="00D65E5D"/>
    <w:rsid w:val="00D7349D"/>
    <w:rsid w:val="00E22148"/>
    <w:rsid w:val="00E53254"/>
    <w:rsid w:val="00F67A40"/>
    <w:rsid w:val="173B4318"/>
    <w:rsid w:val="1C814BCE"/>
    <w:rsid w:val="37173543"/>
    <w:rsid w:val="3FF76880"/>
    <w:rsid w:val="55B87486"/>
    <w:rsid w:val="5F266A47"/>
    <w:rsid w:val="71EA3A5E"/>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locked/>
    <w:uiPriority w:val="99"/>
    <w:rPr>
      <w:rFonts w:ascii="Cambria" w:hAnsi="Cambria" w:eastAsia="宋体" w:cs="Cambria"/>
      <w:b/>
      <w:bCs/>
      <w:sz w:val="32"/>
      <w:szCs w:val="32"/>
    </w:rPr>
  </w:style>
  <w:style w:type="character" w:customStyle="1" w:styleId="8">
    <w:name w:val="页脚 字符"/>
    <w:link w:val="3"/>
    <w:semiHidden/>
    <w:locked/>
    <w:uiPriority w:val="99"/>
    <w:rPr>
      <w:rFonts w:ascii="Times New Roman" w:hAnsi="Times New Roman" w:cs="Times New Roman"/>
      <w:sz w:val="18"/>
      <w:szCs w:val="18"/>
    </w:rPr>
  </w:style>
  <w:style w:type="character" w:customStyle="1" w:styleId="9">
    <w:name w:val="页眉 字符"/>
    <w:link w:val="4"/>
    <w:semiHidden/>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805</Words>
  <Characters>941</Characters>
  <Lines>8</Lines>
  <Paragraphs>2</Paragraphs>
  <TotalTime>1</TotalTime>
  <ScaleCrop>false</ScaleCrop>
  <LinksUpToDate>false</LinksUpToDate>
  <CharactersWithSpaces>976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2022-05-29T10:02:14Z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1E6C17FC22544E228299A963BDC17497</vt:lpwstr>
  </property>
</Properties>
</file>