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ascii="仿宋_GB2312" w:hAnsi="??" w:eastAsia="仿宋_GB2312" w:cs="仿宋_GB2312"/>
          <w:sz w:val="28"/>
          <w:szCs w:val="28"/>
        </w:rPr>
        <w:t xml:space="preserve"> </w:t>
      </w:r>
      <w:r>
        <w:rPr>
          <w:rFonts w:hint="eastAsia" w:ascii="仿宋_GB2312" w:hAnsi="??" w:eastAsia="仿宋_GB2312" w:cs="仿宋_GB2312"/>
          <w:sz w:val="28"/>
          <w:szCs w:val="28"/>
          <w:lang w:val="en-US" w:eastAsia="zh-CN"/>
        </w:rPr>
        <w:t>2021</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996"/>
        <w:gridCol w:w="131"/>
        <w:gridCol w:w="1132"/>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2021年常规与重大动物疫病临床诊断项目</w:t>
            </w:r>
          </w:p>
        </w:tc>
      </w:tr>
      <w:tr>
        <w:tblPrEx>
          <w:tblCellMar>
            <w:top w:w="0" w:type="dxa"/>
            <w:left w:w="108" w:type="dxa"/>
            <w:bottom w:w="0" w:type="dxa"/>
            <w:right w:w="108" w:type="dxa"/>
          </w:tblCellMar>
        </w:tblPrEx>
        <w:trPr>
          <w:trHeight w:val="47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北京市农业农村局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北京市动物疫病预防控制中心</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罗伏兵</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60274828</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88.64</w:t>
            </w: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86.441</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86.441</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88.64</w:t>
            </w: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86.441</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86.441</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3118"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1、对全市动物疫病诊断病例的种类、发病情况及特点进行统计分析</w:t>
            </w:r>
          </w:p>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2、完成调查场大肠杆菌、沙门氏菌2种动物源性人畜共患致病菌的耐药性检测、耐药基因的分子流行病学分析及细菌耐药性的风险评估。</w:t>
            </w:r>
          </w:p>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3、定期召开专家研讨会，分析疫情形势，提出防控策略</w:t>
            </w:r>
          </w:p>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4、对伤人犬进行狂犬病检测，出具诊断报告</w:t>
            </w:r>
          </w:p>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 xml:space="preserve">5、参与突发重大动物疫情的处置工作，开展现场临床诊断和流调，提出初步诊断意见                                                     6、每半年完成一次定点监测流调点的小动物疫病流行病学数据调查及分析，提出防控措施。                                                   </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eastAsia="zh-CN"/>
              </w:rPr>
              <w:t>完成了</w:t>
            </w:r>
            <w:r>
              <w:rPr>
                <w:rFonts w:hint="eastAsia" w:ascii="仿宋_GB2312" w:hAnsi="??" w:eastAsia="仿宋_GB2312" w:cs="仿宋_GB2312"/>
                <w:kern w:val="0"/>
              </w:rPr>
              <w:t>全市动物疫病诊断</w:t>
            </w:r>
            <w:r>
              <w:rPr>
                <w:rFonts w:hint="eastAsia" w:ascii="仿宋_GB2312" w:hAnsi="??" w:eastAsia="仿宋_GB2312" w:cs="仿宋_GB2312"/>
                <w:kern w:val="0"/>
                <w:lang w:eastAsia="zh-CN"/>
              </w:rPr>
              <w:t>情况的</w:t>
            </w:r>
            <w:r>
              <w:rPr>
                <w:rFonts w:hint="eastAsia" w:ascii="仿宋_GB2312" w:hAnsi="??" w:eastAsia="仿宋_GB2312" w:cs="仿宋_GB2312"/>
                <w:kern w:val="0"/>
              </w:rPr>
              <w:t>统计分析</w:t>
            </w:r>
            <w:r>
              <w:rPr>
                <w:rFonts w:hint="eastAsia" w:ascii="仿宋_GB2312" w:hAnsi="??" w:eastAsia="仿宋_GB2312" w:cs="仿宋_GB2312"/>
                <w:kern w:val="0"/>
                <w:lang w:eastAsia="zh-CN"/>
              </w:rPr>
              <w:t>；完</w:t>
            </w:r>
            <w:r>
              <w:rPr>
                <w:rFonts w:hint="eastAsia" w:ascii="仿宋_GB2312" w:hAnsi="??" w:eastAsia="仿宋_GB2312" w:cs="仿宋_GB2312"/>
                <w:kern w:val="0"/>
              </w:rPr>
              <w:t>成调查场大肠杆菌、沙门氏菌2种动物源性人畜共患致病菌的</w:t>
            </w:r>
            <w:r>
              <w:rPr>
                <w:rFonts w:hint="eastAsia" w:ascii="仿宋_GB2312" w:hAnsi="??" w:eastAsia="仿宋_GB2312" w:cs="仿宋_GB2312"/>
                <w:kern w:val="0"/>
                <w:lang w:val="en-US" w:eastAsia="zh-CN"/>
              </w:rPr>
              <w:t>530份样品</w:t>
            </w:r>
            <w:r>
              <w:rPr>
                <w:rFonts w:hint="eastAsia" w:ascii="仿宋_GB2312" w:hAnsi="??" w:eastAsia="仿宋_GB2312" w:cs="仿宋_GB2312"/>
                <w:kern w:val="0"/>
              </w:rPr>
              <w:t>耐药性检测、耐药基因的分子流行病学分析及细菌耐药性的风险评估</w:t>
            </w:r>
            <w:r>
              <w:rPr>
                <w:rFonts w:hint="eastAsia" w:ascii="仿宋_GB2312" w:hAnsi="??" w:eastAsia="仿宋_GB2312" w:cs="仿宋_GB2312"/>
                <w:kern w:val="0"/>
                <w:lang w:eastAsia="zh-CN"/>
              </w:rPr>
              <w:t>；</w:t>
            </w:r>
            <w:r>
              <w:rPr>
                <w:rFonts w:hint="eastAsia" w:ascii="仿宋_GB2312" w:hAnsi="??" w:eastAsia="仿宋_GB2312" w:cs="仿宋_GB2312"/>
                <w:kern w:val="0"/>
              </w:rPr>
              <w:t>召开</w:t>
            </w:r>
            <w:r>
              <w:rPr>
                <w:rFonts w:hint="eastAsia" w:ascii="仿宋_GB2312" w:hAnsi="??" w:eastAsia="仿宋_GB2312" w:cs="仿宋_GB2312"/>
                <w:kern w:val="0"/>
                <w:lang w:val="en-US" w:eastAsia="zh-CN"/>
              </w:rPr>
              <w:t>5</w:t>
            </w:r>
            <w:r>
              <w:rPr>
                <w:rFonts w:hint="eastAsia" w:ascii="仿宋_GB2312" w:hAnsi="??" w:eastAsia="仿宋_GB2312" w:cs="仿宋_GB2312"/>
                <w:kern w:val="0"/>
                <w:lang w:eastAsia="zh-CN"/>
              </w:rPr>
              <w:t>次</w:t>
            </w:r>
            <w:r>
              <w:rPr>
                <w:rFonts w:hint="eastAsia" w:ascii="仿宋_GB2312" w:hAnsi="??" w:eastAsia="仿宋_GB2312" w:cs="仿宋_GB2312"/>
                <w:kern w:val="0"/>
              </w:rPr>
              <w:t>专家研讨会，分析疫情形势，提出防控策略</w:t>
            </w:r>
            <w:r>
              <w:rPr>
                <w:rFonts w:hint="eastAsia" w:ascii="仿宋_GB2312" w:hAnsi="??" w:eastAsia="仿宋_GB2312" w:cs="仿宋_GB2312"/>
                <w:kern w:val="0"/>
                <w:lang w:eastAsia="zh-CN"/>
              </w:rPr>
              <w:t>；及时</w:t>
            </w:r>
            <w:r>
              <w:rPr>
                <w:rFonts w:hint="eastAsia" w:ascii="仿宋_GB2312" w:hAnsi="??" w:eastAsia="仿宋_GB2312" w:cs="仿宋_GB2312"/>
                <w:kern w:val="0"/>
              </w:rPr>
              <w:t>对伤人犬进行狂犬病检测，出具诊断报告</w:t>
            </w:r>
            <w:r>
              <w:rPr>
                <w:rFonts w:hint="eastAsia" w:ascii="仿宋_GB2312" w:hAnsi="??" w:eastAsia="仿宋_GB2312" w:cs="仿宋_GB2312"/>
                <w:kern w:val="0"/>
                <w:lang w:eastAsia="zh-CN"/>
              </w:rPr>
              <w:t>并指导处置</w:t>
            </w:r>
            <w:r>
              <w:rPr>
                <w:rFonts w:hint="eastAsia" w:ascii="仿宋_GB2312" w:hAnsi="??" w:eastAsia="仿宋_GB2312" w:cs="仿宋_GB2312"/>
                <w:kern w:val="0"/>
                <w:lang w:val="en-US" w:eastAsia="zh-CN"/>
              </w:rPr>
              <w:t>;</w:t>
            </w:r>
            <w:r>
              <w:rPr>
                <w:rFonts w:hint="eastAsia" w:ascii="仿宋_GB2312" w:hAnsi="??" w:eastAsia="仿宋_GB2312" w:cs="仿宋_GB2312"/>
                <w:kern w:val="0"/>
                <w:lang w:eastAsia="zh-CN"/>
              </w:rPr>
              <w:t>完成</w:t>
            </w:r>
            <w:r>
              <w:rPr>
                <w:rFonts w:hint="eastAsia" w:ascii="仿宋_GB2312" w:hAnsi="??" w:eastAsia="仿宋_GB2312" w:cs="仿宋_GB2312"/>
                <w:kern w:val="0"/>
              </w:rPr>
              <w:t>突发重大动物疫情的处置工作</w:t>
            </w:r>
            <w:r>
              <w:rPr>
                <w:rFonts w:hint="eastAsia" w:ascii="仿宋_GB2312" w:hAnsi="??" w:eastAsia="仿宋_GB2312" w:cs="仿宋_GB2312"/>
                <w:kern w:val="0"/>
                <w:lang w:val="en-US" w:eastAsia="zh-CN"/>
              </w:rPr>
              <w:t>15次</w:t>
            </w:r>
            <w:r>
              <w:rPr>
                <w:rFonts w:hint="eastAsia" w:ascii="仿宋_GB2312" w:hAnsi="??" w:eastAsia="仿宋_GB2312" w:cs="仿宋_GB2312"/>
                <w:kern w:val="0"/>
              </w:rPr>
              <w:t>，开展现场临床诊断和流调，提出初步诊断意见</w:t>
            </w:r>
            <w:r>
              <w:rPr>
                <w:rFonts w:hint="eastAsia" w:ascii="仿宋_GB2312" w:hAnsi="??" w:eastAsia="仿宋_GB2312" w:cs="仿宋_GB2312"/>
                <w:kern w:val="0"/>
                <w:lang w:eastAsia="zh-CN"/>
              </w:rPr>
              <w:t>，全</w:t>
            </w:r>
            <w:r>
              <w:rPr>
                <w:rFonts w:hint="eastAsia" w:ascii="仿宋_GB2312" w:hAnsi="??" w:eastAsia="仿宋_GB2312" w:cs="仿宋_GB2312"/>
                <w:kern w:val="0"/>
              </w:rPr>
              <w:t>年完成</w:t>
            </w:r>
            <w:r>
              <w:rPr>
                <w:rFonts w:hint="eastAsia" w:ascii="仿宋_GB2312" w:hAnsi="??" w:eastAsia="仿宋_GB2312" w:cs="仿宋_GB2312"/>
                <w:kern w:val="0"/>
                <w:lang w:eastAsia="zh-CN"/>
              </w:rPr>
              <w:t>了</w:t>
            </w:r>
            <w:r>
              <w:rPr>
                <w:rFonts w:hint="eastAsia" w:ascii="仿宋_GB2312" w:hAnsi="??" w:eastAsia="仿宋_GB2312" w:cs="仿宋_GB2312"/>
                <w:kern w:val="0"/>
                <w:lang w:val="en-US" w:eastAsia="zh-CN"/>
              </w:rPr>
              <w:t>2</w:t>
            </w:r>
            <w:r>
              <w:rPr>
                <w:rFonts w:hint="eastAsia" w:ascii="仿宋_GB2312" w:hAnsi="??" w:eastAsia="仿宋_GB2312" w:cs="仿宋_GB2312"/>
                <w:kern w:val="0"/>
              </w:rPr>
              <w:t>次定点监测流调点的小动物疫病流行病学数据调查及分析，提出防控措施。</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lang w:eastAsia="zh-CN"/>
              </w:rPr>
              <w:t>完工作</w:t>
            </w: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17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12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12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172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eastAsia="zh-CN"/>
              </w:rPr>
            </w:pPr>
            <w:r>
              <w:rPr>
                <w:rFonts w:hint="eastAsia" w:ascii="仿宋_GB2312" w:hAnsi="??" w:eastAsia="仿宋_GB2312" w:cs="仿宋_GB2312"/>
                <w:color w:val="000000"/>
                <w:kern w:val="0"/>
              </w:rPr>
              <w:t>开展全市畜禽及小动物疫病流调诊断</w:t>
            </w:r>
            <w:r>
              <w:rPr>
                <w:rFonts w:hint="eastAsia" w:ascii="仿宋_GB2312" w:hAnsi="??" w:eastAsia="仿宋_GB2312" w:cs="仿宋_GB2312"/>
                <w:color w:val="000000"/>
                <w:kern w:val="0"/>
                <w:lang w:eastAsia="zh-CN"/>
              </w:rPr>
              <w:t>次数</w:t>
            </w:r>
          </w:p>
        </w:tc>
        <w:tc>
          <w:tcPr>
            <w:tcW w:w="12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开展家禽疫病调研诊断不少于20次</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40余次调研诊断，</w:t>
            </w:r>
            <w:r>
              <w:rPr>
                <w:rFonts w:hint="eastAsia" w:ascii="仿宋_GB2312" w:hAnsi="??" w:eastAsia="仿宋_GB2312" w:cs="仿宋_GB2312"/>
                <w:kern w:val="0"/>
                <w:lang w:eastAsia="zh-CN"/>
              </w:rPr>
              <w:t>采集近</w:t>
            </w:r>
            <w:r>
              <w:rPr>
                <w:rFonts w:hint="eastAsia" w:ascii="仿宋_GB2312" w:hAnsi="??" w:eastAsia="仿宋_GB2312" w:cs="仿宋_GB2312"/>
                <w:kern w:val="0"/>
                <w:lang w:val="en-US" w:eastAsia="zh-CN"/>
              </w:rPr>
              <w:t>3</w:t>
            </w:r>
            <w:r>
              <w:rPr>
                <w:rFonts w:hint="eastAsia" w:ascii="仿宋_GB2312" w:hAnsi="??" w:eastAsia="仿宋_GB2312" w:cs="仿宋_GB2312"/>
                <w:kern w:val="0"/>
              </w:rPr>
              <w:t>000份样品</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12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2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rPr>
            </w:pPr>
            <w:r>
              <w:rPr>
                <w:rFonts w:hint="eastAsia" w:ascii="仿宋_GB2312" w:hAnsi="??" w:eastAsia="仿宋_GB2312" w:cs="仿宋_GB2312"/>
                <w:color w:val="000000"/>
                <w:kern w:val="0"/>
              </w:rPr>
              <w:t>开展技术培训</w:t>
            </w:r>
          </w:p>
        </w:tc>
        <w:tc>
          <w:tcPr>
            <w:tcW w:w="12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lang w:eastAsia="zh-CN"/>
              </w:rPr>
              <w:t>培训各类专业技术人员及养殖户400人</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lang w:eastAsia="zh-CN"/>
              </w:rPr>
              <w:t>全年培训</w:t>
            </w:r>
            <w:r>
              <w:rPr>
                <w:rFonts w:hint="eastAsia" w:ascii="仿宋_GB2312" w:hAnsi="??" w:eastAsia="仿宋_GB2312" w:cs="仿宋_GB2312"/>
                <w:kern w:val="0"/>
                <w:lang w:val="en-US" w:eastAsia="zh-CN"/>
              </w:rPr>
              <w:t>6</w:t>
            </w:r>
            <w:r>
              <w:rPr>
                <w:rFonts w:hint="eastAsia" w:ascii="仿宋_GB2312" w:hAnsi="??" w:eastAsia="仿宋_GB2312" w:cs="仿宋_GB2312"/>
                <w:kern w:val="0"/>
                <w:lang w:eastAsia="zh-CN"/>
              </w:rPr>
              <w:t>00余人</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9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2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lang w:eastAsia="zh-CN"/>
              </w:rPr>
            </w:pPr>
            <w:r>
              <w:rPr>
                <w:rFonts w:hint="eastAsia" w:ascii="仿宋_GB2312" w:hAnsi="??" w:eastAsia="仿宋_GB2312" w:cs="仿宋_GB2312"/>
                <w:color w:val="000000"/>
                <w:kern w:val="0"/>
                <w:lang w:eastAsia="zh-CN"/>
              </w:rPr>
              <w:t>召开疫情分析会</w:t>
            </w:r>
          </w:p>
        </w:tc>
        <w:tc>
          <w:tcPr>
            <w:tcW w:w="12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lang w:eastAsia="zh-CN"/>
              </w:rPr>
              <w:t>召开4次疫情分析会</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lang w:eastAsia="zh-CN"/>
              </w:rPr>
              <w:t xml:space="preserve"> 全年召开</w:t>
            </w:r>
            <w:r>
              <w:rPr>
                <w:rFonts w:hint="eastAsia" w:ascii="仿宋_GB2312" w:hAnsi="??" w:eastAsia="仿宋_GB2312" w:cs="仿宋_GB2312"/>
                <w:kern w:val="0"/>
                <w:lang w:val="en-US" w:eastAsia="zh-CN"/>
              </w:rPr>
              <w:t>5</w:t>
            </w:r>
            <w:r>
              <w:rPr>
                <w:rFonts w:hint="eastAsia" w:ascii="仿宋_GB2312" w:hAnsi="??" w:eastAsia="仿宋_GB2312" w:cs="仿宋_GB2312"/>
                <w:kern w:val="0"/>
                <w:lang w:eastAsia="zh-CN"/>
              </w:rPr>
              <w:t>次疫情分析会</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62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172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Times New Roman"/>
                <w:kern w:val="0"/>
                <w:sz w:val="18"/>
                <w:szCs w:val="18"/>
                <w:lang w:val="en-US" w:eastAsia="zh-CN" w:bidi="ar-SA"/>
              </w:rPr>
            </w:pPr>
            <w:r>
              <w:rPr>
                <w:rFonts w:hint="eastAsia" w:ascii="仿宋_GB2312" w:hAnsi="??" w:eastAsia="仿宋_GB2312" w:cs="仿宋_GB2312"/>
                <w:color w:val="000000"/>
                <w:kern w:val="0"/>
                <w:lang w:eastAsia="zh-CN"/>
              </w:rPr>
              <w:t>疫病诊断准确率</w:t>
            </w:r>
          </w:p>
        </w:tc>
        <w:tc>
          <w:tcPr>
            <w:tcW w:w="12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Times New Roman"/>
                <w:kern w:val="0"/>
                <w:sz w:val="18"/>
                <w:szCs w:val="18"/>
                <w:lang w:val="en-US" w:eastAsia="zh-CN" w:bidi="ar-SA"/>
              </w:rPr>
            </w:pPr>
            <w:r>
              <w:rPr>
                <w:rFonts w:hint="eastAsia" w:ascii="仿宋_GB2312" w:hAnsi="??" w:eastAsia="仿宋_GB2312" w:cs="仿宋_GB2312"/>
                <w:color w:val="000000"/>
                <w:kern w:val="0"/>
                <w:lang w:eastAsia="zh-CN"/>
              </w:rPr>
              <w:t>≥</w:t>
            </w:r>
            <w:r>
              <w:rPr>
                <w:rFonts w:hint="eastAsia" w:ascii="仿宋_GB2312" w:hAnsi="??" w:eastAsia="仿宋_GB2312" w:cs="仿宋_GB2312"/>
                <w:color w:val="000000"/>
                <w:kern w:val="0"/>
                <w:lang w:val="en-US" w:eastAsia="zh-CN"/>
              </w:rPr>
              <w:t>85%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Times New Roman"/>
                <w:kern w:val="0"/>
                <w:sz w:val="18"/>
                <w:szCs w:val="18"/>
                <w:lang w:val="en-US" w:eastAsia="zh-CN" w:bidi="ar-SA"/>
              </w:rPr>
            </w:pPr>
            <w:r>
              <w:rPr>
                <w:rFonts w:hint="eastAsia" w:ascii="仿宋_GB2312" w:hAnsi="??" w:eastAsia="仿宋_GB2312" w:cs="仿宋_GB2312"/>
                <w:color w:val="000000"/>
                <w:kern w:val="0"/>
                <w:lang w:val="en-US" w:eastAsia="zh-CN"/>
              </w:rPr>
              <w:t>95%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Times New Roman"/>
                <w:kern w:val="0"/>
                <w:sz w:val="21"/>
                <w:szCs w:val="21"/>
                <w:lang w:val="en-US" w:eastAsia="zh-CN" w:bidi="ar-SA"/>
              </w:rPr>
            </w:pPr>
            <w:r>
              <w:rPr>
                <w:rFonts w:hint="eastAsia" w:ascii="仿宋_GB2312" w:hAnsi="??" w:eastAsia="仿宋_GB2312" w:cs="仿宋_GB2312"/>
                <w:color w:val="000000"/>
                <w:kern w:val="0"/>
                <w:lang w:val="en-US" w:eastAsia="zh-CN"/>
              </w:rPr>
              <w:t>7</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Times New Roman"/>
                <w:kern w:val="0"/>
                <w:sz w:val="21"/>
                <w:szCs w:val="21"/>
                <w:lang w:val="en-US" w:eastAsia="zh-CN" w:bidi="ar-SA"/>
              </w:rPr>
            </w:pPr>
            <w:r>
              <w:rPr>
                <w:rFonts w:hint="eastAsia" w:ascii="仿宋_GB2312" w:hAnsi="??" w:eastAsia="仿宋_GB2312" w:cs="仿宋_GB2312"/>
                <w:color w:val="000000"/>
                <w:kern w:val="0"/>
                <w:lang w:val="en-US" w:eastAsia="zh-CN"/>
              </w:rPr>
              <w:t>7</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2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lang w:eastAsia="zh-CN"/>
              </w:rPr>
            </w:pPr>
            <w:r>
              <w:rPr>
                <w:rFonts w:hint="eastAsia" w:ascii="仿宋_GB2312" w:hAnsi="??" w:eastAsia="仿宋_GB2312" w:cs="仿宋_GB2312"/>
                <w:color w:val="000000"/>
                <w:kern w:val="0"/>
                <w:lang w:eastAsia="zh-CN"/>
              </w:rPr>
              <w:t>狂犬病诊断报告及时率</w:t>
            </w:r>
          </w:p>
        </w:tc>
        <w:tc>
          <w:tcPr>
            <w:tcW w:w="12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eastAsia="zh-CN"/>
              </w:rPr>
              <w:t>≥</w:t>
            </w:r>
            <w:r>
              <w:rPr>
                <w:rFonts w:hint="eastAsia" w:ascii="仿宋_GB2312" w:hAnsi="??" w:eastAsia="仿宋_GB2312" w:cs="仿宋_GB2312"/>
                <w:color w:val="000000"/>
                <w:kern w:val="0"/>
                <w:lang w:val="en-US" w:eastAsia="zh-CN"/>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eastAsia="zh-CN"/>
              </w:rPr>
              <w:t>≥</w:t>
            </w:r>
            <w:r>
              <w:rPr>
                <w:rFonts w:hint="eastAsia" w:ascii="仿宋_GB2312" w:hAnsi="??" w:eastAsia="仿宋_GB2312" w:cs="仿宋_GB2312"/>
                <w:color w:val="000000"/>
                <w:kern w:val="0"/>
                <w:lang w:val="en-US" w:eastAsia="zh-CN"/>
              </w:rPr>
              <w:t>90%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8</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3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1723" w:type="dxa"/>
            <w:gridSpan w:val="2"/>
            <w:tcBorders>
              <w:top w:val="single" w:color="auto" w:sz="4" w:space="0"/>
              <w:left w:val="nil"/>
              <w:bottom w:val="single" w:color="auto" w:sz="4" w:space="0"/>
              <w:right w:val="single" w:color="auto" w:sz="4" w:space="0"/>
            </w:tcBorders>
            <w:vAlign w:val="center"/>
          </w:tcPr>
          <w:p>
            <w:pPr>
              <w:widowControl/>
              <w:tabs>
                <w:tab w:val="left" w:pos="273"/>
              </w:tabs>
              <w:spacing w:line="240" w:lineRule="exact"/>
              <w:jc w:val="left"/>
              <w:rPr>
                <w:rFonts w:hint="eastAsia" w:ascii="仿宋_GB2312" w:hAnsi="??" w:eastAsia="仿宋_GB2312"/>
                <w:kern w:val="0"/>
                <w:sz w:val="18"/>
                <w:szCs w:val="18"/>
                <w:lang w:eastAsia="zh-CN"/>
              </w:rPr>
            </w:pPr>
          </w:p>
        </w:tc>
        <w:tc>
          <w:tcPr>
            <w:tcW w:w="1263"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仿宋_GB2312" w:hAnsi="??" w:eastAsia="东文宋体"/>
                <w:kern w:val="0"/>
                <w:lang w:val="en-US" w:eastAsia="zh-CN"/>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仿宋_GB2312" w:hAnsi="??" w:eastAsia="仿宋_GB2312"/>
                <w:kern w:val="0"/>
                <w:lang w:val="en-US" w:eastAsia="zh-CN"/>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200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2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lang w:val="en-US" w:eastAsia="zh-CN"/>
              </w:rPr>
            </w:pPr>
            <w:r>
              <w:rPr>
                <w:rFonts w:hint="eastAsia" w:ascii="仿宋_GB2312" w:hAnsi="??" w:eastAsia="仿宋_GB2312" w:cs="仿宋_GB2312"/>
                <w:color w:val="000000"/>
                <w:kern w:val="0"/>
                <w:lang w:eastAsia="zh-CN"/>
              </w:rPr>
              <w:t>动物疫情应急处置，</w:t>
            </w:r>
            <w:r>
              <w:rPr>
                <w:rFonts w:hint="eastAsia" w:ascii="仿宋_GB2312" w:hAnsi="??" w:eastAsia="仿宋_GB2312" w:cs="仿宋_GB2312"/>
                <w:color w:val="000000"/>
                <w:kern w:val="0"/>
                <w:lang w:val="en-US" w:eastAsia="zh-CN"/>
              </w:rPr>
              <w:t>对发生的重大动物疫情进行及时处置。</w:t>
            </w:r>
          </w:p>
        </w:tc>
        <w:tc>
          <w:tcPr>
            <w:tcW w:w="12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全年执行</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全年执行</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2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w:t>
            </w:r>
          </w:p>
        </w:tc>
        <w:tc>
          <w:tcPr>
            <w:tcW w:w="12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0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172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预算控制数</w:t>
            </w:r>
          </w:p>
        </w:tc>
        <w:tc>
          <w:tcPr>
            <w:tcW w:w="12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86.441万元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86.441万元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2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w:t>
            </w:r>
          </w:p>
        </w:tc>
        <w:tc>
          <w:tcPr>
            <w:tcW w:w="12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2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w:t>
            </w:r>
          </w:p>
        </w:tc>
        <w:tc>
          <w:tcPr>
            <w:tcW w:w="12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2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经济效益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72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无</w:t>
            </w:r>
          </w:p>
        </w:tc>
        <w:tc>
          <w:tcPr>
            <w:tcW w:w="12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无</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lang w:eastAsia="zh-CN"/>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无</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2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rPr>
            </w:pPr>
            <w:r>
              <w:rPr>
                <w:rFonts w:hint="eastAsia" w:ascii="仿宋_GB2312" w:hAnsi="??" w:eastAsia="仿宋_GB2312" w:cs="仿宋_GB2312"/>
                <w:color w:val="000000"/>
                <w:kern w:val="0"/>
              </w:rPr>
              <w:t>指标2</w:t>
            </w:r>
            <w:r>
              <w:rPr>
                <w:rFonts w:hint="eastAsia" w:ascii="仿宋_GB2312" w:hAnsi="??" w:eastAsia="仿宋_GB2312" w:cs="仿宋_GB2312"/>
                <w:color w:val="000000"/>
                <w:kern w:val="0"/>
              </w:rPr>
              <w:t>：</w:t>
            </w:r>
          </w:p>
        </w:tc>
        <w:tc>
          <w:tcPr>
            <w:tcW w:w="12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2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w:t>
            </w:r>
          </w:p>
        </w:tc>
        <w:tc>
          <w:tcPr>
            <w:tcW w:w="12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94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72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lang w:eastAsia="zh-CN"/>
              </w:rPr>
            </w:pPr>
            <w:r>
              <w:rPr>
                <w:rFonts w:hint="eastAsia" w:ascii="仿宋_GB2312" w:hAnsi="??" w:eastAsia="仿宋_GB2312" w:cs="仿宋_GB2312"/>
                <w:color w:val="000000"/>
                <w:kern w:val="0"/>
                <w:lang w:eastAsia="zh-CN"/>
              </w:rPr>
              <w:t>保障公共卫生安全，服务的养殖场户动物疫病发病率明显降低</w:t>
            </w:r>
          </w:p>
        </w:tc>
        <w:tc>
          <w:tcPr>
            <w:tcW w:w="12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lang w:eastAsia="zh-CN"/>
              </w:rPr>
            </w:pPr>
            <w:r>
              <w:rPr>
                <w:rFonts w:hint="eastAsia" w:ascii="仿宋_GB2312" w:hAnsi="??" w:eastAsia="仿宋_GB2312" w:cs="仿宋_GB2312"/>
                <w:color w:val="000000"/>
                <w:kern w:val="0"/>
                <w:lang w:eastAsia="zh-CN"/>
              </w:rPr>
              <w:t>保障公共卫生安全，服务的养殖场户动物疫病发病率明显降低</w:t>
            </w:r>
          </w:p>
        </w:tc>
        <w:tc>
          <w:tcPr>
            <w:tcW w:w="848" w:type="dxa"/>
            <w:tcBorders>
              <w:top w:val="single" w:color="auto" w:sz="4" w:space="0"/>
              <w:left w:val="nil"/>
              <w:bottom w:val="single" w:color="auto" w:sz="4" w:space="0"/>
              <w:right w:val="single" w:color="auto" w:sz="4" w:space="0"/>
            </w:tcBorders>
            <w:vAlign w:val="center"/>
          </w:tcPr>
          <w:p>
            <w:pPr>
              <w:widowControl/>
              <w:tabs>
                <w:tab w:val="left" w:pos="204"/>
              </w:tabs>
              <w:spacing w:line="240" w:lineRule="exact"/>
              <w:jc w:val="left"/>
              <w:rPr>
                <w:rFonts w:hint="eastAsia" w:ascii="仿宋_GB2312" w:hAnsi="??" w:eastAsia="仿宋_GB2312"/>
                <w:kern w:val="0"/>
                <w:lang w:eastAsia="zh-CN"/>
              </w:rPr>
            </w:pPr>
            <w:r>
              <w:rPr>
                <w:rFonts w:hint="eastAsia" w:ascii="仿宋_GB2312" w:hAnsi="??" w:eastAsia="仿宋_GB2312"/>
                <w:kern w:val="0"/>
                <w:lang w:eastAsia="zh-CN"/>
              </w:rPr>
              <w:t>保障公共卫生安全。</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30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28</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效益指标量化不足，支撑资料呈现不足。</w:t>
            </w: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2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w:t>
            </w:r>
          </w:p>
        </w:tc>
        <w:tc>
          <w:tcPr>
            <w:tcW w:w="12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2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w:t>
            </w:r>
          </w:p>
        </w:tc>
        <w:tc>
          <w:tcPr>
            <w:tcW w:w="12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5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72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p>
        </w:tc>
        <w:tc>
          <w:tcPr>
            <w:tcW w:w="12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2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w:t>
            </w:r>
          </w:p>
        </w:tc>
        <w:tc>
          <w:tcPr>
            <w:tcW w:w="12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2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w:t>
            </w:r>
          </w:p>
        </w:tc>
        <w:tc>
          <w:tcPr>
            <w:tcW w:w="12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可持续影响指标</w:t>
            </w:r>
          </w:p>
        </w:tc>
        <w:tc>
          <w:tcPr>
            <w:tcW w:w="172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p>
        </w:tc>
        <w:tc>
          <w:tcPr>
            <w:tcW w:w="12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2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w:t>
            </w:r>
          </w:p>
        </w:tc>
        <w:tc>
          <w:tcPr>
            <w:tcW w:w="12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2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w:t>
            </w:r>
          </w:p>
        </w:tc>
        <w:tc>
          <w:tcPr>
            <w:tcW w:w="12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93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lang w:eastAsia="zh-CN"/>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lang w:eastAsia="zh-CN"/>
              </w:rPr>
            </w:pPr>
            <w:r>
              <w:rPr>
                <w:rFonts w:hint="eastAsia" w:ascii="仿宋_GB2312" w:hAnsi="??" w:eastAsia="仿宋_GB2312" w:cs="仿宋_GB2312"/>
                <w:color w:val="000000"/>
                <w:kern w:val="0"/>
                <w:lang w:eastAsia="zh-CN"/>
              </w:rPr>
              <w:t>满意度</w:t>
            </w:r>
          </w:p>
          <w:p>
            <w:pPr>
              <w:widowControl/>
              <w:spacing w:line="240" w:lineRule="exact"/>
              <w:jc w:val="left"/>
              <w:rPr>
                <w:rFonts w:hint="eastAsia" w:ascii="仿宋_GB2312" w:hAnsi="??" w:eastAsia="仿宋_GB2312" w:cs="仿宋_GB2312"/>
                <w:color w:val="000000"/>
                <w:kern w:val="0"/>
                <w:lang w:eastAsia="zh-CN"/>
              </w:rPr>
            </w:pPr>
            <w:r>
              <w:rPr>
                <w:rFonts w:hint="eastAsia" w:ascii="仿宋_GB2312" w:hAnsi="??" w:eastAsia="仿宋_GB2312" w:cs="仿宋_GB2312"/>
                <w:color w:val="000000"/>
                <w:kern w:val="0"/>
                <w:lang w:eastAsia="zh-CN"/>
              </w:rPr>
              <w:t>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lang w:eastAsia="zh-CN"/>
              </w:rPr>
            </w:pPr>
            <w:r>
              <w:rPr>
                <w:rFonts w:hint="eastAsia" w:ascii="仿宋_GB2312" w:hAnsi="??" w:eastAsia="仿宋_GB2312" w:cs="仿宋_GB2312"/>
                <w:color w:val="000000"/>
                <w:kern w:val="0"/>
                <w:lang w:eastAsia="zh-CN"/>
              </w:rPr>
              <w:t>服务对象满意度标</w:t>
            </w:r>
          </w:p>
        </w:tc>
        <w:tc>
          <w:tcPr>
            <w:tcW w:w="172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lang w:eastAsia="zh-CN"/>
              </w:rPr>
            </w:pPr>
            <w:r>
              <w:rPr>
                <w:rFonts w:hint="eastAsia" w:ascii="仿宋_GB2312" w:hAnsi="??" w:eastAsia="仿宋_GB2312" w:cs="仿宋_GB2312"/>
                <w:color w:val="000000"/>
                <w:kern w:val="0"/>
                <w:lang w:val="en-US" w:eastAsia="zh-CN"/>
              </w:rPr>
              <w:t>养殖场户</w:t>
            </w:r>
            <w:r>
              <w:rPr>
                <w:rFonts w:hint="eastAsia" w:ascii="仿宋_GB2312" w:hAnsi="??" w:eastAsia="仿宋_GB2312" w:cs="仿宋_GB2312"/>
                <w:color w:val="000000"/>
                <w:kern w:val="0"/>
                <w:lang w:eastAsia="zh-CN"/>
              </w:rPr>
              <w:t>满意率</w:t>
            </w:r>
          </w:p>
        </w:tc>
        <w:tc>
          <w:tcPr>
            <w:tcW w:w="126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lang w:eastAsia="zh-CN"/>
              </w:rPr>
            </w:pPr>
            <w:r>
              <w:rPr>
                <w:rFonts w:hint="eastAsia" w:ascii="仿宋_GB2312" w:hAnsi="??" w:eastAsia="仿宋_GB2312" w:cs="仿宋_GB2312"/>
                <w:color w:val="000000"/>
                <w:kern w:val="0"/>
                <w:lang w:eastAsia="zh-CN"/>
              </w:rPr>
              <w:t>≥</w:t>
            </w:r>
            <w:r>
              <w:rPr>
                <w:rFonts w:hint="eastAsia" w:ascii="仿宋_GB2312" w:hAnsi="??" w:eastAsia="仿宋_GB2312" w:cs="仿宋_GB2312"/>
                <w:color w:val="000000"/>
                <w:kern w:val="0"/>
                <w:lang w:val="en-US" w:eastAsia="zh-CN"/>
              </w:rPr>
              <w:t>85%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color w:val="000000"/>
                <w:kern w:val="0"/>
                <w:lang w:eastAsia="zh-CN"/>
              </w:rPr>
            </w:pPr>
            <w:r>
              <w:rPr>
                <w:rFonts w:hint="eastAsia" w:ascii="仿宋_GB2312" w:hAnsi="??" w:eastAsia="仿宋_GB2312" w:cs="仿宋_GB2312"/>
                <w:color w:val="000000"/>
                <w:kern w:val="0"/>
                <w:lang w:val="en-US" w:eastAsia="zh-CN"/>
              </w:rPr>
              <w:t>&gt;90%</w:t>
            </w:r>
            <w:bookmarkStart w:id="0" w:name="_GoBack"/>
            <w:bookmarkEnd w:id="0"/>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color w:val="000000"/>
                <w:kern w:val="0"/>
                <w:lang w:eastAsia="zh-CN"/>
              </w:rPr>
            </w:pPr>
            <w:r>
              <w:rPr>
                <w:rFonts w:hint="eastAsia" w:ascii="仿宋_GB2312" w:hAnsi="??" w:eastAsia="仿宋_GB2312" w:cs="仿宋_GB2312"/>
                <w:color w:val="000000"/>
                <w:kern w:val="0"/>
                <w:lang w:eastAsia="zh-CN"/>
              </w:rPr>
              <w:t>未能对所有的服务对象开展满意度回访。</w:t>
            </w: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2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w:t>
            </w:r>
          </w:p>
        </w:tc>
        <w:tc>
          <w:tcPr>
            <w:tcW w:w="12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23"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w:t>
            </w:r>
          </w:p>
        </w:tc>
        <w:tc>
          <w:tcPr>
            <w:tcW w:w="12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97</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东文宋体">
    <w:altName w:val="宋体"/>
    <w:panose1 w:val="00000000000000000000"/>
    <w:charset w:val="00"/>
    <w:family w:val="auto"/>
    <w:pitch w:val="default"/>
    <w:sig w:usb0="00000000" w:usb1="00000000" w:usb2="00000000" w:usb3="00000000" w:csb0="00000000" w:csb1="00000000"/>
  </w:font>
  <w:font w:name="方正书宋_GBK">
    <w:altName w:val="微软雅黑"/>
    <w:panose1 w:val="02000000000000000000"/>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r>
      <w:pict>
        <v:shape id="_x0000_s4097"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jJjOTQxYzhjODMyMDAzZmE0MDJkMWFkNmJlNDkwYTUifQ=="/>
  </w:docVars>
  <w:rsids>
    <w:rsidRoot w:val="F77F09F4"/>
    <w:rsid w:val="000942B7"/>
    <w:rsid w:val="00212B3B"/>
    <w:rsid w:val="003518EE"/>
    <w:rsid w:val="004C37F4"/>
    <w:rsid w:val="006462FD"/>
    <w:rsid w:val="008F7B3D"/>
    <w:rsid w:val="00AF513F"/>
    <w:rsid w:val="00BC4D7D"/>
    <w:rsid w:val="00C6637B"/>
    <w:rsid w:val="00D65E5D"/>
    <w:rsid w:val="00D7349D"/>
    <w:rsid w:val="00E53254"/>
    <w:rsid w:val="00F67A40"/>
    <w:rsid w:val="18940D4A"/>
    <w:rsid w:val="1C3A58BA"/>
    <w:rsid w:val="26681488"/>
    <w:rsid w:val="37173543"/>
    <w:rsid w:val="3FF76880"/>
    <w:rsid w:val="78CB5939"/>
    <w:rsid w:val="7AB7FF50"/>
    <w:rsid w:val="7BFEB0DB"/>
    <w:rsid w:val="CEFD3F3D"/>
    <w:rsid w:val="E7DF47AB"/>
    <w:rsid w:val="EA3F77F2"/>
    <w:rsid w:val="EEFE5989"/>
    <w:rsid w:val="EFCF3EAE"/>
    <w:rsid w:val="F5B764A2"/>
    <w:rsid w:val="F77F09F4"/>
    <w:rsid w:val="FFD7BFFC"/>
    <w:rsid w:val="FFDEC1AB"/>
    <w:rsid w:val="FFFA6B0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Heading 2 Char"/>
    <w:basedOn w:val="6"/>
    <w:link w:val="2"/>
    <w:semiHidden/>
    <w:qFormat/>
    <w:locked/>
    <w:uiPriority w:val="99"/>
    <w:rPr>
      <w:rFonts w:ascii="Cambria" w:hAnsi="Cambria" w:eastAsia="宋体" w:cs="Cambria"/>
      <w:b/>
      <w:bCs/>
      <w:sz w:val="32"/>
      <w:szCs w:val="32"/>
    </w:rPr>
  </w:style>
  <w:style w:type="character" w:customStyle="1" w:styleId="8">
    <w:name w:val="Footer Char"/>
    <w:basedOn w:val="6"/>
    <w:link w:val="3"/>
    <w:semiHidden/>
    <w:qFormat/>
    <w:locked/>
    <w:uiPriority w:val="99"/>
    <w:rPr>
      <w:rFonts w:ascii="Times New Roman" w:hAnsi="Times New Roman" w:cs="Times New Roman"/>
      <w:sz w:val="18"/>
      <w:szCs w:val="18"/>
    </w:rPr>
  </w:style>
  <w:style w:type="character" w:customStyle="1" w:styleId="9">
    <w:name w:val="Header Char"/>
    <w:basedOn w:val="6"/>
    <w:link w:val="4"/>
    <w:semiHidden/>
    <w:qFormat/>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4</Pages>
  <Words>1368</Words>
  <Characters>1506</Characters>
  <Lines>0</Lines>
  <Paragraphs>0</Paragraphs>
  <TotalTime>0</TotalTime>
  <ScaleCrop>false</ScaleCrop>
  <LinksUpToDate>false</LinksUpToDate>
  <CharactersWithSpaces>1655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2022-03-10T19:16:00Z</dcterms:created>
  <dc:creator>user</dc:creator>
  <cp:lastModifiedBy>LYL</cp:lastModifiedBy>
  <cp:lastPrinted>2022-03-25T02:01:00Z</cp:lastPrinted>
  <dcterms:modified xsi:type="dcterms:W3CDTF">2022-05-29T12:32:10Z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966E00628BFD43D5BEBE4FD209F66988</vt:lpwstr>
  </property>
</Properties>
</file>