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bookmarkStart w:id="0" w:name="_GoBack"/>
      <w:bookmarkEnd w:id="0"/>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（2021年度）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604"/>
        <w:gridCol w:w="850"/>
        <w:gridCol w:w="1090"/>
        <w:gridCol w:w="730"/>
        <w:gridCol w:w="310"/>
        <w:gridCol w:w="1070"/>
        <w:gridCol w:w="1493"/>
        <w:gridCol w:w="46"/>
        <w:gridCol w:w="524"/>
        <w:gridCol w:w="180"/>
        <w:gridCol w:w="437"/>
        <w:gridCol w:w="409"/>
        <w:gridCol w:w="710"/>
      </w:tblGrid>
      <w:tr>
        <w:tblPrEx>
          <w:tblCellMar>
            <w:top w:w="0" w:type="dxa"/>
            <w:left w:w="108" w:type="dxa"/>
            <w:bottom w:w="0" w:type="dxa"/>
            <w:right w:w="108" w:type="dxa"/>
          </w:tblCellMar>
        </w:tblPrEx>
        <w:trPr>
          <w:trHeight w:val="306" w:hRule="exact"/>
          <w:jc w:val="center"/>
        </w:trPr>
        <w:tc>
          <w:tcPr>
            <w:tcW w:w="118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849"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2021年农产品质量安全—农产品质量安全监管及冬奥等重大活动保障能力提升</w:t>
            </w:r>
          </w:p>
        </w:tc>
      </w:tr>
      <w:tr>
        <w:tblPrEx>
          <w:tblCellMar>
            <w:top w:w="0" w:type="dxa"/>
            <w:left w:w="108" w:type="dxa"/>
            <w:bottom w:w="0" w:type="dxa"/>
            <w:right w:w="108" w:type="dxa"/>
          </w:tblCellMar>
        </w:tblPrEx>
        <w:trPr>
          <w:trHeight w:val="576" w:hRule="exact"/>
          <w:jc w:val="center"/>
        </w:trPr>
        <w:tc>
          <w:tcPr>
            <w:tcW w:w="118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5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北京市农业农村局</w:t>
            </w:r>
          </w:p>
        </w:tc>
        <w:tc>
          <w:tcPr>
            <w:tcW w:w="15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北京市优质农产品产销服务站</w:t>
            </w:r>
          </w:p>
        </w:tc>
      </w:tr>
      <w:tr>
        <w:tblPrEx>
          <w:tblCellMar>
            <w:top w:w="0" w:type="dxa"/>
            <w:left w:w="108" w:type="dxa"/>
            <w:bottom w:w="0" w:type="dxa"/>
            <w:right w:w="108" w:type="dxa"/>
          </w:tblCellMar>
        </w:tblPrEx>
        <w:trPr>
          <w:trHeight w:val="306" w:hRule="exact"/>
          <w:jc w:val="center"/>
        </w:trPr>
        <w:tc>
          <w:tcPr>
            <w:tcW w:w="118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5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黄 健</w:t>
            </w:r>
          </w:p>
        </w:tc>
        <w:tc>
          <w:tcPr>
            <w:tcW w:w="153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13810270628</w:t>
            </w:r>
          </w:p>
        </w:tc>
      </w:tr>
      <w:tr>
        <w:tblPrEx>
          <w:tblCellMar>
            <w:top w:w="0" w:type="dxa"/>
            <w:left w:w="108" w:type="dxa"/>
            <w:bottom w:w="0" w:type="dxa"/>
            <w:right w:w="108" w:type="dxa"/>
          </w:tblCellMar>
        </w:tblPrEx>
        <w:trPr>
          <w:trHeight w:val="567" w:hRule="exact"/>
          <w:jc w:val="center"/>
        </w:trPr>
        <w:tc>
          <w:tcPr>
            <w:tcW w:w="118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9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4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07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53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431" w:hRule="exact"/>
          <w:jc w:val="center"/>
        </w:trPr>
        <w:tc>
          <w:tcPr>
            <w:tcW w:w="11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4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04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475.6262</w:t>
            </w:r>
          </w:p>
        </w:tc>
        <w:tc>
          <w:tcPr>
            <w:tcW w:w="107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475.6262</w:t>
            </w:r>
          </w:p>
        </w:tc>
        <w:tc>
          <w:tcPr>
            <w:tcW w:w="15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471.04486</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99.04%</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9.90</w:t>
            </w:r>
          </w:p>
        </w:tc>
      </w:tr>
      <w:tr>
        <w:tblPrEx>
          <w:tblCellMar>
            <w:top w:w="0" w:type="dxa"/>
            <w:left w:w="108" w:type="dxa"/>
            <w:bottom w:w="0" w:type="dxa"/>
            <w:right w:w="108" w:type="dxa"/>
          </w:tblCellMar>
        </w:tblPrEx>
        <w:trPr>
          <w:trHeight w:val="601" w:hRule="exact"/>
          <w:jc w:val="center"/>
        </w:trPr>
        <w:tc>
          <w:tcPr>
            <w:tcW w:w="11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04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475.6262</w:t>
            </w:r>
          </w:p>
        </w:tc>
        <w:tc>
          <w:tcPr>
            <w:tcW w:w="107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475.6262</w:t>
            </w:r>
          </w:p>
        </w:tc>
        <w:tc>
          <w:tcPr>
            <w:tcW w:w="153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471.04486</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1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04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0</w:t>
            </w:r>
          </w:p>
        </w:tc>
        <w:tc>
          <w:tcPr>
            <w:tcW w:w="153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1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4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04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7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0</w:t>
            </w:r>
          </w:p>
        </w:tc>
        <w:tc>
          <w:tcPr>
            <w:tcW w:w="1539"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65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79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596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65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1.组织指导我市13个涉农区完成2021年度生产主体信息动态更新工作。</w:t>
            </w:r>
          </w:p>
          <w:p>
            <w:pPr>
              <w:widowControl/>
              <w:spacing w:line="240" w:lineRule="exact"/>
              <w:jc w:val="center"/>
              <w:rPr>
                <w:rFonts w:hint="eastAsia" w:ascii="仿宋_GB2312" w:hAnsi="??" w:eastAsia="仿宋_GB2312"/>
                <w:kern w:val="0"/>
              </w:rPr>
            </w:pPr>
            <w:r>
              <w:rPr>
                <w:rFonts w:hint="eastAsia" w:ascii="仿宋_GB2312" w:hAnsi="??" w:eastAsia="仿宋_GB2312"/>
                <w:kern w:val="0"/>
              </w:rPr>
              <w:t>2.完成2021年农业标准制修订、复评等相关工作，2021年农业标准化基地备案、评定和复查工作，完成标准化基地的日常督导，组织农业标准与农业标准化基地培训1期。</w:t>
            </w:r>
          </w:p>
          <w:p>
            <w:pPr>
              <w:widowControl/>
              <w:spacing w:line="240" w:lineRule="exact"/>
              <w:jc w:val="center"/>
              <w:rPr>
                <w:rFonts w:hint="eastAsia" w:ascii="仿宋_GB2312" w:hAnsi="??" w:eastAsia="仿宋_GB2312"/>
                <w:kern w:val="0"/>
              </w:rPr>
            </w:pPr>
            <w:r>
              <w:rPr>
                <w:rFonts w:hint="eastAsia" w:ascii="仿宋_GB2312" w:hAnsi="??" w:eastAsia="仿宋_GB2312"/>
                <w:kern w:val="0"/>
              </w:rPr>
              <w:t>3.完成120个主体食用农产品合格证的推广应用、5个生产经营主体追溯管理与合格证整合试行，开展2期食用农产品合格证制度专题培训，总人数不少于240人次。</w:t>
            </w:r>
          </w:p>
          <w:p>
            <w:pPr>
              <w:widowControl/>
              <w:spacing w:line="240" w:lineRule="exact"/>
              <w:jc w:val="center"/>
              <w:rPr>
                <w:rFonts w:hint="eastAsia" w:ascii="仿宋_GB2312" w:hAnsi="??" w:eastAsia="仿宋_GB2312"/>
                <w:kern w:val="0"/>
              </w:rPr>
            </w:pPr>
            <w:r>
              <w:rPr>
                <w:rFonts w:hint="eastAsia" w:ascii="仿宋_GB2312" w:hAnsi="??" w:eastAsia="仿宋_GB2312"/>
                <w:kern w:val="0"/>
              </w:rPr>
              <w:t>4.完成60个即用鲜切蔬菜样品的风险监测任务及4次检测结果汇总分析。</w:t>
            </w:r>
          </w:p>
          <w:p>
            <w:pPr>
              <w:widowControl/>
              <w:spacing w:line="240" w:lineRule="exact"/>
              <w:jc w:val="center"/>
              <w:rPr>
                <w:rFonts w:hint="eastAsia" w:ascii="仿宋_GB2312" w:hAnsi="??" w:eastAsia="仿宋_GB2312"/>
                <w:kern w:val="0"/>
              </w:rPr>
            </w:pPr>
            <w:r>
              <w:rPr>
                <w:rFonts w:hint="eastAsia" w:ascii="仿宋_GB2312" w:hAnsi="??" w:eastAsia="仿宋_GB2312"/>
                <w:kern w:val="0"/>
              </w:rPr>
              <w:t>5.完成15个以上乡镇管理站的日常巡查及13个区所有涉农乡镇的乡镇管理站等级评定工作。</w:t>
            </w:r>
          </w:p>
          <w:p>
            <w:pPr>
              <w:widowControl/>
              <w:spacing w:line="240" w:lineRule="exact"/>
              <w:jc w:val="center"/>
              <w:rPr>
                <w:rFonts w:ascii="仿宋_GB2312" w:hAnsi="??" w:eastAsia="仿宋_GB2312"/>
                <w:kern w:val="0"/>
              </w:rPr>
            </w:pPr>
            <w:r>
              <w:rPr>
                <w:rFonts w:hint="eastAsia" w:ascii="仿宋_GB2312" w:hAnsi="??" w:eastAsia="仿宋_GB2312"/>
                <w:kern w:val="0"/>
              </w:rPr>
              <w:t>6.对定点供应企业的供应产品、生产加工用水进行抽样检测,检测数量以服务保障重大会议及活动期间的抽样检测数量和日常监管抽样检测数量为准。全年对定点供应企业进行监督巡查全覆盖，不低于20次。圆满完成2021年市“两会”、全国“两会”、2021年冬奥会测试赛和2022年冬奥会等重大会议活动农产品供应服务保障工作。</w:t>
            </w:r>
          </w:p>
        </w:tc>
        <w:tc>
          <w:tcPr>
            <w:tcW w:w="379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1.13个涉农区更新主体64409个</w:t>
            </w:r>
          </w:p>
          <w:p>
            <w:pPr>
              <w:widowControl/>
              <w:spacing w:line="240" w:lineRule="exact"/>
              <w:jc w:val="center"/>
              <w:rPr>
                <w:rFonts w:hint="eastAsia" w:ascii="仿宋_GB2312" w:hAnsi="??" w:eastAsia="仿宋_GB2312"/>
                <w:kern w:val="0"/>
              </w:rPr>
            </w:pPr>
            <w:r>
              <w:rPr>
                <w:rFonts w:hint="eastAsia" w:ascii="仿宋_GB2312" w:hAnsi="??" w:eastAsia="仿宋_GB2312"/>
                <w:kern w:val="0"/>
              </w:rPr>
              <w:t>2.完成2021年农业标准制修订、复评等相关工作；完成2021年农业标准化基地备案、评定和复查工作；开展标准化基地日常督导工作；组织农业标准与农业标准化基地培训1期。</w:t>
            </w:r>
          </w:p>
          <w:p>
            <w:pPr>
              <w:widowControl/>
              <w:spacing w:line="240" w:lineRule="exact"/>
              <w:jc w:val="center"/>
              <w:rPr>
                <w:rFonts w:ascii="仿宋_GB2312" w:hAnsi="??" w:eastAsia="仿宋_GB2312"/>
                <w:kern w:val="0"/>
              </w:rPr>
            </w:pPr>
            <w:r>
              <w:rPr>
                <w:rFonts w:hint="eastAsia" w:ascii="仿宋_GB2312" w:hAnsi="??" w:eastAsia="仿宋_GB2312"/>
                <w:kern w:val="0"/>
              </w:rPr>
              <w:t>3.完成120个主体食用农产品合格证的推广应用、5个生产经营主体追溯管理与合格证整合试行，开展4次专题培训以及多次现场培训，共培训合格证相关工作主要负责人或技术人员240余人次。</w:t>
            </w:r>
          </w:p>
          <w:p>
            <w:pPr>
              <w:widowControl/>
              <w:spacing w:line="240" w:lineRule="exact"/>
              <w:jc w:val="center"/>
              <w:rPr>
                <w:rFonts w:hint="eastAsia" w:ascii="仿宋_GB2312" w:hAnsi="??" w:eastAsia="仿宋_GB2312"/>
                <w:kern w:val="0"/>
              </w:rPr>
            </w:pPr>
            <w:r>
              <w:rPr>
                <w:rFonts w:hint="eastAsia" w:ascii="仿宋_GB2312" w:hAnsi="??" w:eastAsia="仿宋_GB2312"/>
                <w:kern w:val="0"/>
              </w:rPr>
              <w:t>4.全年监测即用鲜切菜样品60个，完成第1、2季度（合并）、第3、第4季度及全年结果分析汇总及上报</w:t>
            </w:r>
          </w:p>
          <w:p>
            <w:pPr>
              <w:widowControl/>
              <w:spacing w:line="240" w:lineRule="exact"/>
              <w:jc w:val="center"/>
              <w:rPr>
                <w:rFonts w:hint="eastAsia" w:ascii="仿宋_GB2312" w:hAnsi="??" w:eastAsia="仿宋_GB2312"/>
                <w:kern w:val="0"/>
              </w:rPr>
            </w:pPr>
            <w:r>
              <w:rPr>
                <w:rFonts w:hint="eastAsia" w:ascii="仿宋_GB2312" w:hAnsi="??" w:eastAsia="仿宋_GB2312"/>
                <w:kern w:val="0"/>
              </w:rPr>
              <w:t>5.完成15个以上乡镇管理站的日常巡查及13个区所有涉农乡镇的乡镇管理站等级评定工作。</w:t>
            </w:r>
          </w:p>
          <w:p>
            <w:pPr>
              <w:widowControl/>
              <w:spacing w:line="240" w:lineRule="exact"/>
              <w:jc w:val="center"/>
              <w:rPr>
                <w:rFonts w:ascii="仿宋_GB2312" w:hAnsi="??" w:eastAsia="仿宋_GB2312"/>
                <w:kern w:val="0"/>
              </w:rPr>
            </w:pPr>
            <w:r>
              <w:rPr>
                <w:rFonts w:hint="eastAsia" w:ascii="仿宋_GB2312" w:hAnsi="??" w:eastAsia="仿宋_GB2312"/>
                <w:kern w:val="0"/>
              </w:rPr>
              <w:t>6.对定点供应企业的供应产品、生产加工用水进行抽样检测,共检测886个样品。全年对定点供应企业进行监督巡查全覆盖33次。圆满完成2021年市“两会”、全国“两会”、2021年冬奥会测试赛和2022年冬奥会等重大会议活动农产品供应服务保障工作。</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60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8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8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2021年度生产主体信息动态更新</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13个涉农区（以实际完成数量为准）</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13个涉农区更新主体64409个</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2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农业标准化基地备案</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1000家以上（根据各区上报情况，可能会有变化）</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1094家</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农业标准化培训</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1期100人次</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1期280人次</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预期指标值偏低</w:t>
            </w:r>
          </w:p>
        </w:tc>
      </w:tr>
      <w:tr>
        <w:tblPrEx>
          <w:tblCellMar>
            <w:top w:w="0" w:type="dxa"/>
            <w:left w:w="108" w:type="dxa"/>
            <w:bottom w:w="0" w:type="dxa"/>
            <w:right w:w="108" w:type="dxa"/>
          </w:tblCellMar>
        </w:tblPrEx>
        <w:trPr>
          <w:trHeight w:val="7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食用农产品合格证试行应用</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3-4个区120个主体</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4个区120个主体</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9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移动式打印式主体试行应用</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100个（包含5个工业打印式主体、5个检测关联移动打印式主体和5个合格证制度与追溯体系对接试行主体）</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100个（包含5个工业打印式主体、5个检测关联移动打印式主体和5个合格证制度与追溯体系对接试行主体）</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9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印刷式主体试行应用</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20个</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20个</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r>
      <w:tr>
        <w:tblPrEx>
          <w:tblCellMar>
            <w:top w:w="0" w:type="dxa"/>
            <w:left w:w="108" w:type="dxa"/>
            <w:bottom w:w="0" w:type="dxa"/>
            <w:right w:w="108" w:type="dxa"/>
          </w:tblCellMar>
        </w:tblPrEx>
        <w:trPr>
          <w:trHeight w:val="22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食用农产品合格证制度专题培训</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2期不少于240人次</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240余人次</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受疫情影响，未举办集中培训，在4个区开展4次专题培训以及多次现场培训</w:t>
            </w:r>
          </w:p>
        </w:tc>
      </w:tr>
      <w:tr>
        <w:tblPrEx>
          <w:tblCellMar>
            <w:top w:w="0" w:type="dxa"/>
            <w:left w:w="108" w:type="dxa"/>
            <w:bottom w:w="0" w:type="dxa"/>
            <w:right w:w="108" w:type="dxa"/>
          </w:tblCellMar>
        </w:tblPrEx>
        <w:trPr>
          <w:trHeight w:val="7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全年风险监测即用鲜切蔬菜产品样本量</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60个</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全年监测 60样品</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r>
      <w:tr>
        <w:tblPrEx>
          <w:tblCellMar>
            <w:top w:w="0" w:type="dxa"/>
            <w:left w:w="108" w:type="dxa"/>
            <w:bottom w:w="0" w:type="dxa"/>
            <w:right w:w="108" w:type="dxa"/>
          </w:tblCellMar>
        </w:tblPrEx>
        <w:trPr>
          <w:trHeight w:val="15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上报即用鲜切蔬菜风险监测结果</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4份</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第1、2季度（合并）、第3，第4及全年共4次结果上报</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r>
      <w:tr>
        <w:tblPrEx>
          <w:tblCellMar>
            <w:top w:w="0" w:type="dxa"/>
            <w:left w:w="108" w:type="dxa"/>
            <w:bottom w:w="0" w:type="dxa"/>
            <w:right w:w="108" w:type="dxa"/>
          </w:tblCellMar>
        </w:tblPrEx>
        <w:trPr>
          <w:trHeight w:val="15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全年对每个即用鲜切蔬菜生产主体检查</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2次</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7家鲜切菜主体共14次现场检查</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0.7</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预期指标值偏低。</w:t>
            </w:r>
          </w:p>
        </w:tc>
      </w:tr>
      <w:tr>
        <w:tblPrEx>
          <w:tblCellMar>
            <w:top w:w="0" w:type="dxa"/>
            <w:left w:w="108" w:type="dxa"/>
            <w:bottom w:w="0" w:type="dxa"/>
            <w:right w:w="108" w:type="dxa"/>
          </w:tblCellMar>
        </w:tblPrEx>
        <w:trPr>
          <w:trHeight w:val="4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乡镇管理站日常巡查</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15个以上</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15次</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r>
      <w:tr>
        <w:tblPrEx>
          <w:tblCellMar>
            <w:top w:w="0" w:type="dxa"/>
            <w:left w:w="108" w:type="dxa"/>
            <w:bottom w:w="0" w:type="dxa"/>
            <w:right w:w="108" w:type="dxa"/>
          </w:tblCellMar>
        </w:tblPrEx>
        <w:trPr>
          <w:trHeight w:val="8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乡镇管理站等级评定</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13个区的所有涉农乡镇</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完成13个区乡镇管理站等级评定</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r>
      <w:tr>
        <w:tblPrEx>
          <w:tblCellMar>
            <w:top w:w="0" w:type="dxa"/>
            <w:left w:w="108" w:type="dxa"/>
            <w:bottom w:w="0" w:type="dxa"/>
            <w:right w:w="108" w:type="dxa"/>
          </w:tblCellMar>
        </w:tblPrEx>
        <w:trPr>
          <w:trHeight w:val="87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完成重大会议活动农产品供应服务保障任务</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2次</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5次</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r>
      <w:tr>
        <w:tblPrEx>
          <w:tblCellMar>
            <w:top w:w="0" w:type="dxa"/>
            <w:left w:w="108" w:type="dxa"/>
            <w:bottom w:w="0" w:type="dxa"/>
            <w:right w:w="108" w:type="dxa"/>
          </w:tblCellMar>
        </w:tblPrEx>
        <w:trPr>
          <w:trHeight w:val="140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对定点供应企业的供应产品、日常生产产品进行抽样检测</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以服务保障重大会议及活动期间的抽样检测数量为准</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886个样品</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r>
      <w:tr>
        <w:tblPrEx>
          <w:tblCellMar>
            <w:top w:w="0" w:type="dxa"/>
            <w:left w:w="108" w:type="dxa"/>
            <w:bottom w:w="0" w:type="dxa"/>
            <w:right w:w="108" w:type="dxa"/>
          </w:tblCellMar>
        </w:tblPrEx>
        <w:trPr>
          <w:trHeight w:val="5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对定点供应企业进行监督巡查</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20次</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33次</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r>
      <w:tr>
        <w:tblPrEx>
          <w:tblCellMar>
            <w:top w:w="0" w:type="dxa"/>
            <w:left w:w="108" w:type="dxa"/>
            <w:bottom w:w="0" w:type="dxa"/>
            <w:right w:w="108" w:type="dxa"/>
          </w:tblCellMar>
        </w:tblPrEx>
        <w:trPr>
          <w:trHeight w:val="10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优级标准化基地管理</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达到优级基地标准评分90分及以上</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优级90分以上</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r>
      <w:tr>
        <w:tblPrEx>
          <w:tblCellMar>
            <w:top w:w="0" w:type="dxa"/>
            <w:left w:w="108" w:type="dxa"/>
            <w:bottom w:w="0" w:type="dxa"/>
            <w:right w:w="108" w:type="dxa"/>
          </w:tblCellMar>
        </w:tblPrEx>
        <w:trPr>
          <w:trHeight w:val="10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达标级标准化基地管理</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达到优级基地标准评分70分及以上</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达标70分以上</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r>
      <w:tr>
        <w:tblPrEx>
          <w:tblCellMar>
            <w:top w:w="0" w:type="dxa"/>
            <w:left w:w="108" w:type="dxa"/>
            <w:bottom w:w="0" w:type="dxa"/>
            <w:right w:w="108" w:type="dxa"/>
          </w:tblCellMar>
        </w:tblPrEx>
        <w:trPr>
          <w:trHeight w:val="116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推广食用农产品合格证应用</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进一步规范和推进试行工作</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完成，在4个区推进试行工作</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r>
      <w:tr>
        <w:tblPrEx>
          <w:tblCellMar>
            <w:top w:w="0" w:type="dxa"/>
            <w:left w:w="108" w:type="dxa"/>
            <w:bottom w:w="0" w:type="dxa"/>
            <w:right w:w="108" w:type="dxa"/>
          </w:tblCellMar>
        </w:tblPrEx>
        <w:trPr>
          <w:trHeight w:val="6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圆满完成全年重大会议活动农产品供应服务保障任务</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100%</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100%</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r>
      <w:tr>
        <w:tblPrEx>
          <w:tblCellMar>
            <w:top w:w="0" w:type="dxa"/>
            <w:left w:w="108" w:type="dxa"/>
            <w:bottom w:w="0" w:type="dxa"/>
            <w:right w:w="108" w:type="dxa"/>
          </w:tblCellMar>
        </w:tblPrEx>
        <w:trPr>
          <w:trHeight w:val="19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产品抽样检测合格率</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98%以上</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完成，60个样品全部合格，有检出样品均为低风险</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3</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r>
      <w:tr>
        <w:tblPrEx>
          <w:tblCellMar>
            <w:top w:w="0" w:type="dxa"/>
            <w:left w:w="108" w:type="dxa"/>
            <w:bottom w:w="0" w:type="dxa"/>
            <w:right w:w="108" w:type="dxa"/>
          </w:tblCellMar>
        </w:tblPrEx>
        <w:trPr>
          <w:trHeight w:val="7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制定项目实施方案、明确进度安排</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2月底前</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2月</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r>
      <w:tr>
        <w:tblPrEx>
          <w:tblCellMar>
            <w:top w:w="0" w:type="dxa"/>
            <w:left w:w="108" w:type="dxa"/>
            <w:bottom w:w="0" w:type="dxa"/>
            <w:right w:w="108" w:type="dxa"/>
          </w:tblCellMar>
        </w:tblPrEx>
        <w:trPr>
          <w:trHeight w:val="62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按实施方案完成半年工作目标</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2-6月</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2-6月</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r>
      <w:tr>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完成项目所有考核指标</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7-12月</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7-12月</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r>
      <w:tr>
        <w:tblPrEx>
          <w:tblCellMar>
            <w:top w:w="0" w:type="dxa"/>
            <w:left w:w="108" w:type="dxa"/>
            <w:bottom w:w="0" w:type="dxa"/>
            <w:right w:w="108" w:type="dxa"/>
          </w:tblCellMar>
        </w:tblPrEx>
        <w:trPr>
          <w:trHeight w:val="92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完成项目总结、验收工作</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12月底</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2021年</w:t>
            </w:r>
            <w:r>
              <w:rPr>
                <w:rFonts w:hint="eastAsia" w:ascii="仿宋_GB2312" w:hAnsi="??" w:eastAsia="仿宋_GB2312"/>
                <w:kern w:val="0"/>
              </w:rPr>
              <w:t>12月</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2.5</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r>
      <w:tr>
        <w:tblPrEx>
          <w:tblCellMar>
            <w:top w:w="0" w:type="dxa"/>
            <w:left w:w="108" w:type="dxa"/>
            <w:bottom w:w="0" w:type="dxa"/>
            <w:right w:w="108" w:type="dxa"/>
          </w:tblCellMar>
        </w:tblPrEx>
        <w:trPr>
          <w:trHeight w:val="73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8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控制项目总资金</w:t>
            </w:r>
          </w:p>
        </w:tc>
        <w:tc>
          <w:tcPr>
            <w:tcW w:w="13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不超过475.6262万元</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471.04486万元</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10</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r>
      <w:tr>
        <w:tblPrEx>
          <w:tblCellMar>
            <w:top w:w="0" w:type="dxa"/>
            <w:left w:w="108" w:type="dxa"/>
            <w:bottom w:w="0" w:type="dxa"/>
            <w:right w:w="108" w:type="dxa"/>
          </w:tblCellMar>
        </w:tblPrEx>
        <w:trPr>
          <w:trHeight w:val="227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820" w:type="dxa"/>
            <w:gridSpan w:val="2"/>
            <w:tcBorders>
              <w:top w:val="single" w:color="auto" w:sz="4" w:space="0"/>
              <w:left w:val="nil"/>
              <w:bottom w:val="single" w:color="auto" w:sz="4" w:space="0"/>
              <w:right w:val="single" w:color="auto" w:sz="4" w:space="0"/>
            </w:tcBorders>
            <w:vAlign w:val="center"/>
          </w:tcPr>
          <w:p>
            <w:pPr>
              <w:adjustRightInd w:val="0"/>
              <w:jc w:val="left"/>
              <w:rPr>
                <w:rFonts w:hint="eastAsia" w:ascii="仿宋_GB2312" w:hAnsi="宋体" w:eastAsia="仿宋_GB2312" w:cs="宋体"/>
                <w:sz w:val="18"/>
                <w:szCs w:val="18"/>
              </w:rPr>
            </w:pPr>
            <w:r>
              <w:rPr>
                <w:rFonts w:hint="eastAsia" w:ascii="仿宋_GB2312" w:hAnsi="??" w:eastAsia="仿宋_GB2312" w:cs="仿宋_GB2312"/>
                <w:kern w:val="0"/>
              </w:rPr>
              <w:t>经济效益</w:t>
            </w:r>
          </w:p>
        </w:tc>
        <w:tc>
          <w:tcPr>
            <w:tcW w:w="1380" w:type="dxa"/>
            <w:gridSpan w:val="2"/>
            <w:tcBorders>
              <w:top w:val="single" w:color="auto" w:sz="4" w:space="0"/>
              <w:left w:val="nil"/>
              <w:bottom w:val="single" w:color="auto" w:sz="4" w:space="0"/>
              <w:right w:val="single" w:color="auto" w:sz="4" w:space="0"/>
            </w:tcBorders>
            <w:vAlign w:val="center"/>
          </w:tcPr>
          <w:p>
            <w:pPr>
              <w:adjustRightInd w:val="0"/>
              <w:jc w:val="left"/>
              <w:rPr>
                <w:rFonts w:hint="eastAsia" w:ascii="仿宋_GB2312" w:hAnsi="??" w:eastAsia="仿宋_GB2312" w:cs="仿宋_GB2312"/>
                <w:kern w:val="0"/>
              </w:rPr>
            </w:pPr>
            <w:r>
              <w:rPr>
                <w:rFonts w:hint="eastAsia" w:ascii="仿宋_GB2312" w:hAnsi="??" w:eastAsia="仿宋_GB2312" w:cs="仿宋_GB2312"/>
                <w:kern w:val="0"/>
              </w:rPr>
              <w:t>圆满完成相应工作内容，规范食用农产品生产主体管理，促进农产品质量安全水平提升，提高生产主体经济收益。</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有相应提升</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效益指标资料量化不足</w:t>
            </w:r>
          </w:p>
        </w:tc>
      </w:tr>
      <w:tr>
        <w:tblPrEx>
          <w:tblCellMar>
            <w:top w:w="0" w:type="dxa"/>
            <w:left w:w="108" w:type="dxa"/>
            <w:bottom w:w="0" w:type="dxa"/>
            <w:right w:w="108" w:type="dxa"/>
          </w:tblCellMar>
        </w:tblPrEx>
        <w:trPr>
          <w:trHeight w:val="292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820" w:type="dxa"/>
            <w:gridSpan w:val="2"/>
            <w:tcBorders>
              <w:top w:val="single" w:color="auto" w:sz="4" w:space="0"/>
              <w:left w:val="nil"/>
              <w:bottom w:val="single" w:color="auto" w:sz="4" w:space="0"/>
              <w:right w:val="single" w:color="auto" w:sz="4" w:space="0"/>
            </w:tcBorders>
            <w:vAlign w:val="center"/>
          </w:tcPr>
          <w:p>
            <w:pPr>
              <w:adjustRightInd w:val="0"/>
              <w:jc w:val="left"/>
              <w:rPr>
                <w:rFonts w:hint="eastAsia" w:ascii="仿宋_GB2312" w:hAnsi="宋体" w:eastAsia="仿宋_GB2312" w:cs="宋体"/>
                <w:sz w:val="18"/>
                <w:szCs w:val="18"/>
              </w:rPr>
            </w:pPr>
            <w:r>
              <w:rPr>
                <w:rFonts w:hint="eastAsia" w:ascii="仿宋_GB2312" w:hAnsi="??" w:eastAsia="仿宋_GB2312" w:cs="仿宋_GB2312"/>
                <w:kern w:val="0"/>
              </w:rPr>
              <w:t>社会效益</w:t>
            </w:r>
          </w:p>
        </w:tc>
        <w:tc>
          <w:tcPr>
            <w:tcW w:w="1380" w:type="dxa"/>
            <w:gridSpan w:val="2"/>
            <w:tcBorders>
              <w:top w:val="single" w:color="auto" w:sz="4" w:space="0"/>
              <w:left w:val="nil"/>
              <w:bottom w:val="single" w:color="auto" w:sz="4" w:space="0"/>
              <w:right w:val="single" w:color="auto" w:sz="4" w:space="0"/>
            </w:tcBorders>
            <w:vAlign w:val="center"/>
          </w:tcPr>
          <w:p>
            <w:pPr>
              <w:adjustRightInd w:val="0"/>
              <w:jc w:val="left"/>
              <w:rPr>
                <w:rFonts w:hint="eastAsia" w:ascii="仿宋_GB2312" w:hAnsi="??" w:eastAsia="仿宋_GB2312" w:cs="仿宋_GB2312"/>
                <w:kern w:val="0"/>
              </w:rPr>
            </w:pPr>
            <w:r>
              <w:rPr>
                <w:rFonts w:hint="eastAsia" w:ascii="仿宋_GB2312" w:hAnsi="??" w:eastAsia="仿宋_GB2312" w:cs="仿宋_GB2312"/>
                <w:kern w:val="0"/>
              </w:rPr>
              <w:t>一是促进农产品质量安全水平提升，满足社会消费需求；二是圆满完成重大会议活动的服务保障任务，提升农业企业、农产品质量安全影响力。</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有相应提升</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9</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效益指标资料量化不足</w:t>
            </w:r>
          </w:p>
        </w:tc>
      </w:tr>
      <w:tr>
        <w:tblPrEx>
          <w:tblCellMar>
            <w:top w:w="0" w:type="dxa"/>
            <w:left w:w="108" w:type="dxa"/>
            <w:bottom w:w="0" w:type="dxa"/>
            <w:right w:w="108" w:type="dxa"/>
          </w:tblCellMar>
        </w:tblPrEx>
        <w:trPr>
          <w:trHeight w:val="26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820" w:type="dxa"/>
            <w:gridSpan w:val="2"/>
            <w:tcBorders>
              <w:top w:val="single" w:color="auto" w:sz="4" w:space="0"/>
              <w:left w:val="nil"/>
              <w:bottom w:val="single" w:color="auto" w:sz="4" w:space="0"/>
              <w:right w:val="single" w:color="auto" w:sz="4" w:space="0"/>
            </w:tcBorders>
            <w:vAlign w:val="center"/>
          </w:tcPr>
          <w:p>
            <w:pPr>
              <w:adjustRightInd w:val="0"/>
              <w:jc w:val="left"/>
              <w:rPr>
                <w:rFonts w:hint="eastAsia" w:ascii="仿宋_GB2312" w:hAnsi="宋体" w:eastAsia="仿宋_GB2312" w:cs="宋体"/>
                <w:sz w:val="18"/>
                <w:szCs w:val="18"/>
              </w:rPr>
            </w:pPr>
            <w:r>
              <w:rPr>
                <w:rFonts w:hint="eastAsia" w:ascii="仿宋_GB2312" w:eastAsia="仿宋_GB2312"/>
                <w:sz w:val="18"/>
                <w:szCs w:val="18"/>
              </w:rPr>
              <w:t>环境效益</w:t>
            </w:r>
          </w:p>
        </w:tc>
        <w:tc>
          <w:tcPr>
            <w:tcW w:w="1380" w:type="dxa"/>
            <w:gridSpan w:val="2"/>
            <w:tcBorders>
              <w:top w:val="single" w:color="auto" w:sz="4" w:space="0"/>
              <w:left w:val="nil"/>
              <w:bottom w:val="single" w:color="auto" w:sz="4" w:space="0"/>
              <w:right w:val="single" w:color="auto" w:sz="4" w:space="0"/>
            </w:tcBorders>
            <w:vAlign w:val="center"/>
          </w:tcPr>
          <w:p>
            <w:pPr>
              <w:adjustRightInd w:val="0"/>
              <w:jc w:val="left"/>
              <w:rPr>
                <w:rFonts w:hint="eastAsia" w:ascii="仿宋_GB2312" w:hAnsi="??" w:eastAsia="仿宋_GB2312" w:cs="仿宋_GB2312"/>
                <w:kern w:val="0"/>
              </w:rPr>
            </w:pPr>
            <w:r>
              <w:rPr>
                <w:rFonts w:hint="eastAsia" w:ascii="仿宋_GB2312" w:hAnsi="??" w:eastAsia="仿宋_GB2312" w:cs="仿宋_GB2312"/>
                <w:kern w:val="0"/>
              </w:rPr>
              <w:t>规范食用农产品生产主体管理，指导基地标准化生产，规范化肥、农药等的使用，改善产地环境，促进农业生产、生态环境和谐发展。</w:t>
            </w:r>
          </w:p>
        </w:tc>
        <w:tc>
          <w:tcPr>
            <w:tcW w:w="14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有相应提升</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10</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效益指标资料量化不足</w:t>
            </w:r>
          </w:p>
        </w:tc>
      </w:tr>
      <w:tr>
        <w:tblPrEx>
          <w:tblCellMar>
            <w:top w:w="0" w:type="dxa"/>
            <w:left w:w="108" w:type="dxa"/>
            <w:bottom w:w="0" w:type="dxa"/>
            <w:right w:w="108" w:type="dxa"/>
          </w:tblCellMar>
        </w:tblPrEx>
        <w:trPr>
          <w:trHeight w:val="74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820" w:type="dxa"/>
            <w:gridSpan w:val="2"/>
            <w:tcBorders>
              <w:top w:val="single" w:color="auto" w:sz="4" w:space="0"/>
              <w:left w:val="nil"/>
              <w:bottom w:val="single" w:color="auto" w:sz="4" w:space="0"/>
              <w:right w:val="single" w:color="auto" w:sz="4" w:space="0"/>
            </w:tcBorders>
            <w:vAlign w:val="center"/>
          </w:tcPr>
          <w:p>
            <w:pPr>
              <w:adjustRightInd w:val="0"/>
              <w:jc w:val="left"/>
              <w:rPr>
                <w:rFonts w:hint="eastAsia" w:ascii="仿宋_GB2312" w:hAnsi="??" w:eastAsia="仿宋_GB2312" w:cs="仿宋_GB2312"/>
                <w:kern w:val="0"/>
              </w:rPr>
            </w:pPr>
            <w:r>
              <w:rPr>
                <w:rFonts w:hint="eastAsia" w:ascii="仿宋_GB2312" w:hAnsi="??" w:eastAsia="仿宋_GB2312" w:cs="仿宋_GB2312"/>
                <w:kern w:val="0"/>
              </w:rPr>
              <w:t>参与培训学员等满意度</w:t>
            </w:r>
          </w:p>
        </w:tc>
        <w:tc>
          <w:tcPr>
            <w:tcW w:w="1380" w:type="dxa"/>
            <w:gridSpan w:val="2"/>
            <w:tcBorders>
              <w:top w:val="single" w:color="auto" w:sz="4" w:space="0"/>
              <w:left w:val="nil"/>
              <w:bottom w:val="single" w:color="auto" w:sz="4" w:space="0"/>
              <w:right w:val="single" w:color="auto" w:sz="4" w:space="0"/>
            </w:tcBorders>
            <w:vAlign w:val="center"/>
          </w:tcPr>
          <w:p>
            <w:pPr>
              <w:adjustRightInd w:val="0"/>
              <w:jc w:val="left"/>
              <w:rPr>
                <w:rFonts w:hint="eastAsia" w:ascii="仿宋_GB2312" w:hAnsi="??" w:eastAsia="仿宋_GB2312" w:cs="仿宋_GB2312"/>
                <w:kern w:val="0"/>
              </w:rPr>
            </w:pPr>
            <w:r>
              <w:rPr>
                <w:rFonts w:hint="eastAsia" w:ascii="仿宋_GB2312" w:hAnsi="??" w:eastAsia="仿宋_GB2312" w:cs="仿宋_GB2312"/>
                <w:kern w:val="0"/>
              </w:rPr>
              <w:t>≥90%</w:t>
            </w:r>
          </w:p>
        </w:tc>
        <w:tc>
          <w:tcPr>
            <w:tcW w:w="1493" w:type="dxa"/>
            <w:tcBorders>
              <w:top w:val="single" w:color="auto" w:sz="4" w:space="0"/>
              <w:left w:val="nil"/>
              <w:bottom w:val="single" w:color="auto" w:sz="4" w:space="0"/>
              <w:right w:val="single" w:color="auto" w:sz="4" w:space="0"/>
            </w:tcBorders>
            <w:vAlign w:val="center"/>
          </w:tcPr>
          <w:p>
            <w:pPr>
              <w:adjustRightInd w:val="0"/>
              <w:jc w:val="left"/>
              <w:rPr>
                <w:rFonts w:hint="eastAsia" w:ascii="仿宋_GB2312" w:hAnsi="??" w:eastAsia="仿宋_GB2312" w:cs="仿宋_GB2312"/>
                <w:kern w:val="0"/>
              </w:rPr>
            </w:pPr>
            <w:r>
              <w:rPr>
                <w:rFonts w:hint="eastAsia" w:ascii="仿宋_GB2312" w:hAnsi="??" w:eastAsia="仿宋_GB2312" w:cs="仿宋_GB2312"/>
                <w:kern w:val="0"/>
              </w:rPr>
              <w:t>90%</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满意度调查范围较窄</w:t>
            </w:r>
          </w:p>
        </w:tc>
      </w:tr>
      <w:tr>
        <w:tblPrEx>
          <w:tblCellMar>
            <w:top w:w="0" w:type="dxa"/>
            <w:left w:w="108" w:type="dxa"/>
            <w:bottom w:w="0" w:type="dxa"/>
            <w:right w:w="108" w:type="dxa"/>
          </w:tblCellMar>
        </w:tblPrEx>
        <w:trPr>
          <w:trHeight w:val="494" w:hRule="exact"/>
          <w:jc w:val="center"/>
        </w:trPr>
        <w:tc>
          <w:tcPr>
            <w:tcW w:w="6732"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6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rPr>
              <w:t>95</w:t>
            </w:r>
            <w:r>
              <w:rPr>
                <w:rFonts w:hint="eastAsia" w:ascii="仿宋_GB2312" w:hAnsi="??" w:eastAsia="仿宋_GB2312" w:cs="仿宋_GB2312"/>
                <w:color w:val="000000"/>
                <w:kern w:val="0"/>
                <w:lang w:eastAsia="zh-CN"/>
              </w:rPr>
              <w:t>.</w:t>
            </w:r>
            <w:r>
              <w:rPr>
                <w:rFonts w:hint="eastAsia" w:ascii="仿宋_GB2312" w:hAnsi="??" w:eastAsia="仿宋_GB2312" w:cs="仿宋_GB2312"/>
                <w:color w:val="000000"/>
                <w:kern w:val="0"/>
                <w:lang w:val="en-US" w:eastAsia="zh-CN"/>
              </w:rPr>
              <w:t>6</w:t>
            </w:r>
          </w:p>
        </w:tc>
        <w:tc>
          <w:tcPr>
            <w:tcW w:w="111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5 -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JjOTQxYzhjODMyMDAzZmE0MDJkMWFkNmJlNDkwYTUifQ=="/>
  </w:docVars>
  <w:rsids>
    <w:rsidRoot w:val="F77F09F4"/>
    <w:rsid w:val="00014807"/>
    <w:rsid w:val="00054EA9"/>
    <w:rsid w:val="001020E4"/>
    <w:rsid w:val="00112935"/>
    <w:rsid w:val="001268D6"/>
    <w:rsid w:val="00136E86"/>
    <w:rsid w:val="001C59B0"/>
    <w:rsid w:val="00212B3B"/>
    <w:rsid w:val="00216584"/>
    <w:rsid w:val="00217A22"/>
    <w:rsid w:val="00244896"/>
    <w:rsid w:val="002657DD"/>
    <w:rsid w:val="002C5F45"/>
    <w:rsid w:val="002D37B7"/>
    <w:rsid w:val="002D5571"/>
    <w:rsid w:val="003464BD"/>
    <w:rsid w:val="003518EE"/>
    <w:rsid w:val="003712AC"/>
    <w:rsid w:val="00395F82"/>
    <w:rsid w:val="00397D32"/>
    <w:rsid w:val="00404CE2"/>
    <w:rsid w:val="004C37F4"/>
    <w:rsid w:val="004C7A00"/>
    <w:rsid w:val="00505CB8"/>
    <w:rsid w:val="005109AC"/>
    <w:rsid w:val="005230BB"/>
    <w:rsid w:val="00536F32"/>
    <w:rsid w:val="00593216"/>
    <w:rsid w:val="005B75C6"/>
    <w:rsid w:val="00624639"/>
    <w:rsid w:val="00625F70"/>
    <w:rsid w:val="0064520D"/>
    <w:rsid w:val="006462FD"/>
    <w:rsid w:val="00665E0E"/>
    <w:rsid w:val="006B4531"/>
    <w:rsid w:val="0072018C"/>
    <w:rsid w:val="00764E16"/>
    <w:rsid w:val="00782E2C"/>
    <w:rsid w:val="007A39AE"/>
    <w:rsid w:val="007B5F70"/>
    <w:rsid w:val="007C1A97"/>
    <w:rsid w:val="007C3746"/>
    <w:rsid w:val="008309E5"/>
    <w:rsid w:val="00830CF1"/>
    <w:rsid w:val="008413AF"/>
    <w:rsid w:val="008B203F"/>
    <w:rsid w:val="008C556B"/>
    <w:rsid w:val="008F7B3D"/>
    <w:rsid w:val="009000B1"/>
    <w:rsid w:val="00907BB0"/>
    <w:rsid w:val="009554FC"/>
    <w:rsid w:val="009F3B1D"/>
    <w:rsid w:val="009F59CC"/>
    <w:rsid w:val="00A8123E"/>
    <w:rsid w:val="00AE1196"/>
    <w:rsid w:val="00AE7BAE"/>
    <w:rsid w:val="00AF513F"/>
    <w:rsid w:val="00B34BC6"/>
    <w:rsid w:val="00B448BF"/>
    <w:rsid w:val="00B675AA"/>
    <w:rsid w:val="00BC4D7D"/>
    <w:rsid w:val="00C34620"/>
    <w:rsid w:val="00C602A7"/>
    <w:rsid w:val="00C6637B"/>
    <w:rsid w:val="00C86229"/>
    <w:rsid w:val="00CE6C62"/>
    <w:rsid w:val="00CF409D"/>
    <w:rsid w:val="00D459F4"/>
    <w:rsid w:val="00D51579"/>
    <w:rsid w:val="00D65E5D"/>
    <w:rsid w:val="00D7349D"/>
    <w:rsid w:val="00D95E53"/>
    <w:rsid w:val="00DE5270"/>
    <w:rsid w:val="00DF72AA"/>
    <w:rsid w:val="00E076C0"/>
    <w:rsid w:val="00E24FB4"/>
    <w:rsid w:val="00E53254"/>
    <w:rsid w:val="00E63496"/>
    <w:rsid w:val="00E95FE5"/>
    <w:rsid w:val="00EA7388"/>
    <w:rsid w:val="00EE71B7"/>
    <w:rsid w:val="00EF720B"/>
    <w:rsid w:val="00F14292"/>
    <w:rsid w:val="00F67A40"/>
    <w:rsid w:val="00F95543"/>
    <w:rsid w:val="00FD5DDD"/>
    <w:rsid w:val="00FE3285"/>
    <w:rsid w:val="06DF3FC3"/>
    <w:rsid w:val="081A7E0B"/>
    <w:rsid w:val="147E12BF"/>
    <w:rsid w:val="1E450758"/>
    <w:rsid w:val="1F6A3940"/>
    <w:rsid w:val="25457290"/>
    <w:rsid w:val="25851E89"/>
    <w:rsid w:val="37173543"/>
    <w:rsid w:val="38033706"/>
    <w:rsid w:val="3FF76880"/>
    <w:rsid w:val="43845F59"/>
    <w:rsid w:val="4C261319"/>
    <w:rsid w:val="531931A8"/>
    <w:rsid w:val="60695F4D"/>
    <w:rsid w:val="71017542"/>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Char"/>
    <w:basedOn w:val="6"/>
    <w:link w:val="2"/>
    <w:semiHidden/>
    <w:qFormat/>
    <w:locked/>
    <w:uiPriority w:val="99"/>
    <w:rPr>
      <w:rFonts w:ascii="Cambria" w:hAnsi="Cambria" w:eastAsia="宋体" w:cs="Cambria"/>
      <w:b/>
      <w:bCs/>
      <w:sz w:val="32"/>
      <w:szCs w:val="32"/>
    </w:rPr>
  </w:style>
  <w:style w:type="character" w:customStyle="1" w:styleId="8">
    <w:name w:val="页脚 Char"/>
    <w:basedOn w:val="6"/>
    <w:link w:val="3"/>
    <w:semiHidden/>
    <w:qFormat/>
    <w:locked/>
    <w:uiPriority w:val="99"/>
    <w:rPr>
      <w:rFonts w:ascii="Times New Roman" w:hAnsi="Times New Roman" w:cs="Times New Roman"/>
      <w:sz w:val="18"/>
      <w:szCs w:val="18"/>
    </w:rPr>
  </w:style>
  <w:style w:type="character" w:customStyle="1" w:styleId="9">
    <w:name w:val="页眉 Char"/>
    <w:basedOn w:val="6"/>
    <w:link w:val="4"/>
    <w:semiHidden/>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2407</Words>
  <Characters>2702</Characters>
  <Lines>22</Lines>
  <Paragraphs>6</Paragraphs>
  <TotalTime>15</TotalTime>
  <ScaleCrop>false</ScaleCrop>
  <LinksUpToDate>false</LinksUpToDate>
  <CharactersWithSpaces>2741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LYL</cp:lastModifiedBy>
  <cp:lastPrinted>2022-03-24T10:01:00Z</cp:lastPrinted>
  <dcterms:modified xsi:type="dcterms:W3CDTF">2022-05-27T04:55:02Z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4DD27A49883442FEBB39CFB4CCDB6890</vt:lpwstr>
  </property>
</Properties>
</file>