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adjustRightInd w:val="0"/>
        <w:snapToGrid w:val="0"/>
        <w:spacing w:before="0" w:after="0" w:line="640" w:lineRule="exact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</w:rPr>
      </w:pPr>
      <w:bookmarkStart w:id="0" w:name="_Toc100423130"/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附件3</w:t>
      </w:r>
    </w:p>
    <w:p>
      <w:pPr>
        <w:pStyle w:val="4"/>
        <w:keepNext w:val="0"/>
        <w:keepLines w:val="0"/>
        <w:adjustRightInd w:val="0"/>
        <w:snapToGrid w:val="0"/>
        <w:spacing w:before="0" w:after="0" w:line="6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1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环京周边蔬菜生产基地综合评分表</w:t>
      </w:r>
      <w:bookmarkEnd w:id="0"/>
    </w:p>
    <w:bookmarkEnd w:id="1"/>
    <w:p>
      <w:pPr>
        <w:rPr>
          <w:rFonts w:hint="eastAsia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5449"/>
        <w:gridCol w:w="560"/>
        <w:gridCol w:w="560"/>
        <w:gridCol w:w="529"/>
        <w:gridCol w:w="529"/>
        <w:gridCol w:w="11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5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评定内容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本项满分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分项满分</w:t>
            </w: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分档计分</w:t>
            </w: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评定得分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 w:val="0"/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 w:val="0"/>
            <w:vAlign w:val="top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基地规模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 w:val="0"/>
            <w:vAlign w:val="top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 w:val="0"/>
            <w:vAlign w:val="top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 w:val="0"/>
            <w:vAlign w:val="top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 w:val="0"/>
            <w:vAlign w:val="top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 w:val="0"/>
            <w:vAlign w:val="top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1.1</w:t>
            </w:r>
          </w:p>
        </w:tc>
        <w:tc>
          <w:tcPr>
            <w:tcW w:w="5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当年规模符合要求（集中连片面积原则上不低于300亩，其中设施蔬菜生产面积比较较高的，可适当放宽），得10分。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产地环境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 w:val="0"/>
            <w:vAlign w:val="top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否决项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2.1</w:t>
            </w:r>
          </w:p>
        </w:tc>
        <w:tc>
          <w:tcPr>
            <w:tcW w:w="5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远离污染区和自然灾害频发区，远离城区、工矿区、工业、生活垃圾场等污染源且交通便利，得10分。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5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设施设备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 w:val="0"/>
            <w:vAlign w:val="top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3.1</w:t>
            </w:r>
          </w:p>
        </w:tc>
        <w:tc>
          <w:tcPr>
            <w:tcW w:w="5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标识明显，且内容齐全，包括基地名称、范围、面积、地块分布图等内容，得2分。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1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3.2</w:t>
            </w:r>
          </w:p>
        </w:tc>
        <w:tc>
          <w:tcPr>
            <w:tcW w:w="5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水、电、路等基础设施齐全，卫生设施完备，路面整洁平坦，得2分。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1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3.3</w:t>
            </w:r>
          </w:p>
        </w:tc>
        <w:tc>
          <w:tcPr>
            <w:tcW w:w="5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具有或租赁与生产规模相配套的设备，满足耕种，植保；水肥；采收；分级包装等，每满足一项得1分，总分5分。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1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3.4</w:t>
            </w:r>
          </w:p>
        </w:tc>
        <w:tc>
          <w:tcPr>
            <w:tcW w:w="5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建有与生产规模相配套的投入品存放库房，得2分；产品预冷贮存库房，得2分；废弃物处理等设施设备，得2分。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6</w:t>
            </w: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1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3.5</w:t>
            </w:r>
          </w:p>
        </w:tc>
        <w:tc>
          <w:tcPr>
            <w:tcW w:w="5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具备产品质量检测室2分；配备相应的检测设备，且运行良好，得3分。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1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4</w:t>
            </w:r>
          </w:p>
        </w:tc>
        <w:tc>
          <w:tcPr>
            <w:tcW w:w="5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组织管理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noWrap w:val="0"/>
            <w:vAlign w:val="top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4.1</w:t>
            </w:r>
          </w:p>
        </w:tc>
        <w:tc>
          <w:tcPr>
            <w:tcW w:w="5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设置产品质量管理岗位、生产技术指导岗位得1分；配备具有相应资质的专职人员，得1分。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4.2</w:t>
            </w:r>
          </w:p>
        </w:tc>
        <w:tc>
          <w:tcPr>
            <w:tcW w:w="5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编制了蔬菜种植关键环节的生产操作规程和产品质量控制措施（要求覆盖供应蔬菜品种）。得5分。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4.3</w:t>
            </w:r>
          </w:p>
        </w:tc>
        <w:tc>
          <w:tcPr>
            <w:tcW w:w="5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制度运行有效、人员配备合理、生产计划科学、生产过程规范、生产记录完整、应急保障措施到位。得3分。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5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信息报送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noWrap w:val="0"/>
            <w:vAlign w:val="top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否决项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5.1</w:t>
            </w:r>
          </w:p>
        </w:tc>
        <w:tc>
          <w:tcPr>
            <w:tcW w:w="5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按照有关要求，按时通过信息系统报送生产销售等信息，有基地产品生产供应计划，得2分；生产供应计划中明确可供产品的主要品种、定植时间，生产规模及预计上市时间等，得2分；生产供应计划与实际全年生产供应情况相符，得2分；有产品销售信息，得2分；产品销售信息记录完整，得2分。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6</w:t>
            </w:r>
          </w:p>
        </w:tc>
        <w:tc>
          <w:tcPr>
            <w:tcW w:w="5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质量控制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noWrap w:val="0"/>
            <w:vAlign w:val="top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6.1</w:t>
            </w:r>
          </w:p>
        </w:tc>
        <w:tc>
          <w:tcPr>
            <w:tcW w:w="5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安排专人负责投入品的采购、存放、使用及包装容器回收管理等工作，得2分；有投入品出入库、使用台账，且记录整齐清晰，得2分。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4</w:t>
            </w: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6.2</w:t>
            </w:r>
          </w:p>
        </w:tc>
        <w:tc>
          <w:tcPr>
            <w:tcW w:w="5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购买的投入品应有供货方的检验证书、产品合格证、登记证和出厂证，得2分。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6.3</w:t>
            </w:r>
          </w:p>
        </w:tc>
        <w:tc>
          <w:tcPr>
            <w:tcW w:w="5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有明确的检测计划，得2分；能够对上市产品进行检测，得2分；检测记录完整清晰，贴合格证上市的，得2分。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6</w:t>
            </w: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6.4</w:t>
            </w:r>
          </w:p>
        </w:tc>
        <w:tc>
          <w:tcPr>
            <w:tcW w:w="5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其产品当年获得有资质的农产品质量安全检测机构合格的检验报告，得2分。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6.5</w:t>
            </w:r>
          </w:p>
        </w:tc>
        <w:tc>
          <w:tcPr>
            <w:tcW w:w="5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当年未发生农产品质量安全事件，得4分。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4</w:t>
            </w: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否决项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6.6</w:t>
            </w:r>
          </w:p>
        </w:tc>
        <w:tc>
          <w:tcPr>
            <w:tcW w:w="5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合理安排产品生产计划，得2分；基地生产记录完整，得2分；能够对蔬菜种植基地信息、投入品使用、病虫害防治等进行溯源管理，得2分。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6</w:t>
            </w: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7</w:t>
            </w:r>
          </w:p>
        </w:tc>
        <w:tc>
          <w:tcPr>
            <w:tcW w:w="5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服务保障经历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noWrap w:val="0"/>
            <w:vAlign w:val="top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7.1</w:t>
            </w:r>
          </w:p>
        </w:tc>
        <w:tc>
          <w:tcPr>
            <w:tcW w:w="5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当年参加并圆满完成省级以上重大活动服务保障任务，每次得1分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，总分3分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8</w:t>
            </w:r>
          </w:p>
        </w:tc>
        <w:tc>
          <w:tcPr>
            <w:tcW w:w="5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企业荣誉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noWrap w:val="0"/>
            <w:vAlign w:val="top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8.1</w:t>
            </w:r>
          </w:p>
        </w:tc>
        <w:tc>
          <w:tcPr>
            <w:tcW w:w="5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当年每增加一个绿色食品认证得1分，每增加一个有机产品认证得1分，每增加一个农产品地理标志认证得1分，满分3分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7DAF1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lightGray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lightGray"/>
              </w:rPr>
              <w:t>9</w:t>
            </w:r>
          </w:p>
        </w:tc>
        <w:tc>
          <w:tcPr>
            <w:tcW w:w="5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7DAF1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产品供应北京情况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7DAF1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7DAF1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lightGray"/>
              </w:rPr>
            </w:pP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7DAF1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lightGray"/>
              </w:rPr>
            </w:pP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7DAF1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lightGray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7DAF1"/>
            <w:noWrap w:val="0"/>
            <w:vAlign w:val="top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lightGray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9.1</w:t>
            </w:r>
          </w:p>
        </w:tc>
        <w:tc>
          <w:tcPr>
            <w:tcW w:w="5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当年日常供应北京比例达到50%以上，5分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9.2</w:t>
            </w:r>
          </w:p>
        </w:tc>
        <w:tc>
          <w:tcPr>
            <w:tcW w:w="5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当年应急状态下确保蔬菜供应北京比例能够达到90%以上，5分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否决项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6569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100分</w:t>
            </w: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评定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结论</w:t>
            </w:r>
          </w:p>
        </w:tc>
        <w:tc>
          <w:tcPr>
            <w:tcW w:w="8751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00" w:lineRule="exact"/>
              <w:ind w:left="0" w:leftChars="0" w:right="1470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签字</w:t>
            </w:r>
          </w:p>
        </w:tc>
        <w:tc>
          <w:tcPr>
            <w:tcW w:w="8751" w:type="dxa"/>
            <w:gridSpan w:val="6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pStyle w:val="5"/>
              <w:spacing w:line="300" w:lineRule="exact"/>
              <w:ind w:left="0" w:leftChars="0" w:right="1470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</w:tbl>
    <w:p>
      <w:pPr>
        <w:pStyle w:val="8"/>
        <w:widowControl w:val="0"/>
        <w:adjustRightInd w:val="0"/>
        <w:snapToGrid w:val="0"/>
        <w:rPr>
          <w:rFonts w:hint="eastAsia" w:ascii="仿宋_GB2312" w:eastAsia="仿宋_GB2312"/>
          <w:color w:val="000000"/>
        </w:rPr>
      </w:pPr>
    </w:p>
    <w:p>
      <w:pPr>
        <w:pStyle w:val="8"/>
        <w:widowControl w:val="0"/>
        <w:adjustRightInd w:val="0"/>
        <w:snapToGrid w:val="0"/>
        <w:rPr>
          <w:rFonts w:hint="eastAsia" w:ascii="仿宋_GB2312" w:eastAsia="仿宋_GB2312"/>
          <w:color w:val="000000"/>
        </w:rPr>
      </w:pPr>
      <w:r>
        <w:rPr>
          <w:rFonts w:hint="eastAsia" w:ascii="仿宋_GB2312" w:eastAsia="仿宋_GB2312"/>
          <w:color w:val="000000"/>
        </w:rPr>
        <w:t>计分说明：</w:t>
      </w:r>
    </w:p>
    <w:p>
      <w:pPr>
        <w:pStyle w:val="8"/>
        <w:widowControl w:val="0"/>
        <w:adjustRightInd w:val="0"/>
        <w:snapToGrid w:val="0"/>
        <w:ind w:left="210" w:hanging="210" w:hangingChars="100"/>
        <w:rPr>
          <w:rFonts w:hint="eastAsia" w:ascii="仿宋_GB2312" w:eastAsia="仿宋_GB2312"/>
          <w:color w:val="000000"/>
        </w:rPr>
      </w:pPr>
      <w:r>
        <w:rPr>
          <w:rFonts w:hint="eastAsia" w:ascii="仿宋_GB2312" w:eastAsia="仿宋_GB2312"/>
          <w:color w:val="000000"/>
        </w:rPr>
        <w:t>1.满分100分，共分为9个大项，各大项分值为：基地规模1</w:t>
      </w:r>
      <w:r>
        <w:rPr>
          <w:rFonts w:ascii="仿宋_GB2312" w:eastAsia="仿宋_GB2312"/>
          <w:color w:val="000000"/>
        </w:rPr>
        <w:t>0</w:t>
      </w:r>
      <w:r>
        <w:rPr>
          <w:rFonts w:hint="eastAsia" w:ascii="仿宋_GB2312" w:eastAsia="仿宋_GB2312"/>
          <w:color w:val="000000"/>
        </w:rPr>
        <w:t>分；产地环境1</w:t>
      </w:r>
      <w:r>
        <w:rPr>
          <w:rFonts w:ascii="仿宋_GB2312" w:eastAsia="仿宋_GB2312"/>
          <w:color w:val="000000"/>
        </w:rPr>
        <w:t>0</w:t>
      </w:r>
      <w:r>
        <w:rPr>
          <w:rFonts w:hint="eastAsia" w:ascii="仿宋_GB2312" w:eastAsia="仿宋_GB2312"/>
          <w:color w:val="000000"/>
        </w:rPr>
        <w:t>分；设施设备20分</w:t>
      </w:r>
      <w:r>
        <w:rPr>
          <w:rFonts w:hint="eastAsia" w:ascii="仿宋_GB2312" w:eastAsia="仿宋_GB2312"/>
        </w:rPr>
        <w:t>；组织管理10分；信息报送10分；质量控制</w:t>
      </w:r>
      <w:r>
        <w:rPr>
          <w:rFonts w:hint="eastAsia" w:ascii="仿宋_GB2312" w:eastAsia="仿宋_GB2312"/>
          <w:color w:val="000000"/>
        </w:rPr>
        <w:t>24分；服务保障经历3分；企业荣誉3分；产品供应北京10分。通过对各项评定项目评分值加和计算获得基地综合得分。</w:t>
      </w:r>
    </w:p>
    <w:p>
      <w:pPr>
        <w:pStyle w:val="8"/>
        <w:widowControl w:val="0"/>
        <w:adjustRightInd w:val="0"/>
        <w:snapToGrid w:val="0"/>
        <w:rPr>
          <w:rFonts w:hint="eastAsia" w:ascii="仿宋_GB2312" w:eastAsia="仿宋_GB2312"/>
          <w:color w:val="000000"/>
        </w:rPr>
      </w:pPr>
      <w:r>
        <w:rPr>
          <w:rFonts w:hint="eastAsia" w:ascii="仿宋_GB2312" w:eastAsia="仿宋_GB2312"/>
          <w:color w:val="000000"/>
        </w:rPr>
        <w:t>2.各项目的评定得分为专家打分，各项评定得分不得高于最高分值。</w:t>
      </w:r>
    </w:p>
    <w:p>
      <w:pPr>
        <w:pStyle w:val="8"/>
        <w:widowControl w:val="0"/>
        <w:adjustRightInd w:val="0"/>
        <w:snapToGrid w:val="0"/>
        <w:rPr>
          <w:rFonts w:ascii="仿宋_GB2312" w:eastAsia="仿宋_GB2312"/>
          <w:color w:val="000000"/>
          <w:highlight w:val="yellow"/>
        </w:rPr>
      </w:pPr>
      <w:r>
        <w:rPr>
          <w:rFonts w:hint="eastAsia" w:ascii="仿宋_GB2312" w:eastAsia="仿宋_GB2312"/>
          <w:color w:val="000000"/>
        </w:rPr>
        <w:t>3.否决项为必须达到指标，若不符合要求，一票否决。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E7FC012-C939-4639-8010-39D4C7A68BD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C418F2FE-71CB-4133-A868-1E9328B68B23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215486A0-CE9F-443C-A931-FC36BAE8F175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E4D840E6-A1EF-43B7-B716-866AD276247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yYmI0NzFiOTllNTNhYjQzN2RiNmRkODVlNjNiM2QifQ=="/>
  </w:docVars>
  <w:rsids>
    <w:rsidRoot w:val="68BB3CED"/>
    <w:rsid w:val="68BB3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4">
    <w:name w:val="heading 1"/>
    <w:basedOn w:val="1"/>
    <w:next w:val="1"/>
    <w:uiPriority w:val="0"/>
    <w:pPr>
      <w:keepNext/>
      <w:keepLines/>
      <w:jc w:val="center"/>
      <w:outlineLvl w:val="0"/>
    </w:pPr>
    <w:rPr>
      <w:rFonts w:eastAsia="宋体"/>
      <w:b/>
      <w:kern w:val="44"/>
      <w:sz w:val="36"/>
      <w:lang w:val="en-US" w:eastAsia="zh-CN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pPr>
      <w:jc w:val="center"/>
    </w:pPr>
    <w:rPr>
      <w:rFonts w:eastAsia="黑体"/>
      <w:sz w:val="52"/>
    </w:rPr>
  </w:style>
  <w:style w:type="paragraph" w:customStyle="1" w:styleId="3">
    <w:name w:val="目录 11"/>
    <w:next w:val="1"/>
    <w:qFormat/>
    <w:uiPriority w:val="99"/>
    <w:pPr>
      <w:wordWrap w:val="0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5">
    <w:name w:val="Block Text"/>
    <w:basedOn w:val="1"/>
    <w:uiPriority w:val="0"/>
    <w:pPr>
      <w:spacing w:after="120"/>
      <w:ind w:left="1440" w:leftChars="700" w:right="1440" w:rightChars="700"/>
    </w:pPr>
  </w:style>
  <w:style w:type="paragraph" w:customStyle="1" w:styleId="8">
    <w:name w:val="二级无"/>
    <w:basedOn w:val="1"/>
    <w:qFormat/>
    <w:uiPriority w:val="0"/>
    <w:pPr>
      <w:widowControl/>
      <w:jc w:val="left"/>
      <w:outlineLvl w:val="3"/>
    </w:pPr>
    <w:rPr>
      <w:rFonts w:ascii="宋体" w:hAnsi="Times New Roman" w:eastAsia="宋体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2022-06-08T01:44:00Z</dcterms:created>
  <dc:creator>Fizz</dc:creator>
  <cp:lastModifiedBy>Fizz</cp:lastModifiedBy>
  <dcterms:modified xsi:type="dcterms:W3CDTF">2022-06-08T01:45:18Z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5D4924385670497DB332E2F99A0A1553</vt:lpwstr>
  </property>
</Properties>
</file>