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b/>
          <w:sz w:val="40"/>
          <w:szCs w:val="40"/>
        </w:rPr>
      </w:pPr>
      <w:r>
        <w:rPr>
          <w:rFonts w:hint="eastAsia" w:ascii="仿宋_GB2312" w:eastAsia="仿宋_GB2312"/>
          <w:b/>
          <w:sz w:val="40"/>
          <w:szCs w:val="40"/>
        </w:rPr>
        <w:t>中共北京市委农村工作委员会宣传教育中心</w:t>
      </w:r>
    </w:p>
    <w:p>
      <w:pPr>
        <w:spacing w:line="580" w:lineRule="exact"/>
        <w:ind w:firstLine="803" w:firstLineChars="200"/>
        <w:rPr>
          <w:rFonts w:ascii="仿宋_GB2312" w:eastAsia="仿宋_GB2312"/>
          <w:b/>
          <w:sz w:val="40"/>
          <w:szCs w:val="40"/>
        </w:rPr>
      </w:pPr>
      <w:r>
        <w:rPr>
          <w:rFonts w:hint="eastAsia" w:ascii="仿宋_GB2312" w:eastAsia="仿宋_GB2312"/>
          <w:b/>
          <w:sz w:val="40"/>
          <w:szCs w:val="40"/>
        </w:rPr>
        <w:t xml:space="preserve">       部门整体绩效评价</w:t>
      </w:r>
    </w:p>
    <w:p>
      <w:pPr>
        <w:pStyle w:val="2"/>
        <w:ind w:firstLine="420"/>
      </w:pP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（一）部门概况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1.机构设置及职责工作任务情况</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根据北京市编制委员会办公室的批复【（83）京编事字第037号】，设立中共北京市委农村工作委员会宣传教育中心（以下简称“宣教中心”）。宣教中心内设一室六部七个部室。</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宣教中心为公益一类事业单位，有下属公益二类事业单位1个--北京市科教音像中心,为经费自理事业单位,内设六部室:分别为后勤部、财务部、市场部、安保部、技术部、场务部。</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宣教中心的职责是为全市“三农”宣传服务，具体为：1、围绕本市“三农”工作中心任务和郊区经济社会发展需要，认真宣传贯彻党在农村的方针政策和市委市政府坚持城乡统筹、推进郊区改革发展的政策措施；2、及时向外界反映郊区物质文明、精神文明、政治文明、生态文明建设的情况；3、配合农村基层组织建设，利用电化教育（电视、网络及新媒体）等多种形式，开展农村党员教育；4、根据农民需求，开展科技、文化、法制、信息等方面的教育培训和服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2.部门整体绩效目标设立情况（包括绩效目标设立依据、目标与职责任务匹配情况、目标合理性等）。</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在财政部门制定的绩效评价指标体系的基础上，结合部门的职责任务和项目的特点，科学合理的设计了当年预算执行情况、整体绩效目标实现情况、预算管理情况八个一级指标以及二十八个二级指标和十四个三级指标。</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（二）当年预算执行情况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2021年全年预算数</w:t>
      </w:r>
      <w:r>
        <w:rPr>
          <w:rFonts w:ascii="仿宋_GB2312" w:eastAsia="仿宋_GB2312"/>
          <w:sz w:val="28"/>
          <w:szCs w:val="28"/>
        </w:rPr>
        <w:t>2011.87</w:t>
      </w:r>
      <w:r>
        <w:rPr>
          <w:rFonts w:hint="eastAsia" w:ascii="仿宋_GB2312" w:eastAsia="仿宋_GB2312"/>
          <w:sz w:val="28"/>
          <w:szCs w:val="28"/>
        </w:rPr>
        <w:t>万元，其中，基本支出预算数</w:t>
      </w:r>
      <w:r>
        <w:rPr>
          <w:rFonts w:ascii="仿宋_GB2312" w:eastAsia="仿宋_GB2312"/>
          <w:sz w:val="28"/>
          <w:szCs w:val="28"/>
        </w:rPr>
        <w:t>1504.73</w:t>
      </w:r>
      <w:r>
        <w:rPr>
          <w:rFonts w:hint="eastAsia" w:ascii="仿宋_GB2312" w:eastAsia="仿宋_GB2312"/>
          <w:sz w:val="28"/>
          <w:szCs w:val="28"/>
        </w:rPr>
        <w:t>万元，项目支出预算数</w:t>
      </w:r>
      <w:r>
        <w:rPr>
          <w:rFonts w:ascii="仿宋_GB2312" w:eastAsia="仿宋_GB2312"/>
          <w:sz w:val="28"/>
          <w:szCs w:val="28"/>
        </w:rPr>
        <w:t>506.94</w:t>
      </w:r>
      <w:r>
        <w:rPr>
          <w:rFonts w:hint="eastAsia" w:ascii="仿宋_GB2312" w:eastAsia="仿宋_GB2312"/>
          <w:sz w:val="28"/>
          <w:szCs w:val="28"/>
        </w:rPr>
        <w:t>万元，其他支出预算数</w:t>
      </w:r>
      <w:r>
        <w:rPr>
          <w:rFonts w:ascii="仿宋_GB2312" w:eastAsia="仿宋_GB2312"/>
          <w:sz w:val="28"/>
          <w:szCs w:val="28"/>
        </w:rPr>
        <w:t>0.20</w:t>
      </w:r>
      <w:r>
        <w:rPr>
          <w:rFonts w:hint="eastAsia" w:ascii="仿宋_GB2312" w:eastAsia="仿宋_GB2312"/>
          <w:sz w:val="28"/>
          <w:szCs w:val="28"/>
        </w:rPr>
        <w:t>万元。资金总体支出</w:t>
      </w:r>
      <w:r>
        <w:rPr>
          <w:rFonts w:ascii="仿宋_GB2312" w:eastAsia="仿宋_GB2312"/>
          <w:sz w:val="28"/>
          <w:szCs w:val="28"/>
        </w:rPr>
        <w:t>1894.20</w:t>
      </w:r>
      <w:r>
        <w:rPr>
          <w:rFonts w:hint="eastAsia" w:ascii="仿宋_GB2312" w:eastAsia="仿宋_GB2312"/>
          <w:sz w:val="28"/>
          <w:szCs w:val="28"/>
        </w:rPr>
        <w:t>万元，其中，基本支出</w:t>
      </w:r>
      <w:r>
        <w:rPr>
          <w:rFonts w:ascii="仿宋_GB2312" w:eastAsia="仿宋_GB2312"/>
          <w:sz w:val="28"/>
          <w:szCs w:val="28"/>
        </w:rPr>
        <w:t>1393.66</w:t>
      </w:r>
      <w:r>
        <w:rPr>
          <w:rFonts w:hint="eastAsia" w:ascii="仿宋_GB2312" w:eastAsia="仿宋_GB2312"/>
          <w:sz w:val="28"/>
          <w:szCs w:val="28"/>
        </w:rPr>
        <w:t>万元，项目支出</w:t>
      </w:r>
      <w:r>
        <w:rPr>
          <w:rFonts w:ascii="仿宋_GB2312" w:eastAsia="仿宋_GB2312"/>
          <w:sz w:val="28"/>
          <w:szCs w:val="28"/>
        </w:rPr>
        <w:t>500.53</w:t>
      </w:r>
      <w:r>
        <w:rPr>
          <w:rFonts w:hint="eastAsia" w:ascii="仿宋_GB2312" w:eastAsia="仿宋_GB2312"/>
          <w:sz w:val="28"/>
          <w:szCs w:val="28"/>
        </w:rPr>
        <w:t>万元，其他支出</w:t>
      </w:r>
      <w:r>
        <w:rPr>
          <w:rFonts w:ascii="仿宋_GB2312" w:eastAsia="仿宋_GB2312"/>
          <w:sz w:val="28"/>
          <w:szCs w:val="28"/>
        </w:rPr>
        <w:t>0</w:t>
      </w:r>
      <w:r>
        <w:rPr>
          <w:rFonts w:hint="eastAsia" w:ascii="仿宋_GB2312" w:eastAsia="仿宋_GB2312"/>
          <w:sz w:val="28"/>
          <w:szCs w:val="28"/>
        </w:rPr>
        <w:t>万元。预算执行率为</w:t>
      </w:r>
      <w:r>
        <w:rPr>
          <w:rFonts w:ascii="仿宋_GB2312" w:eastAsia="仿宋_GB2312"/>
          <w:sz w:val="28"/>
          <w:szCs w:val="28"/>
        </w:rPr>
        <w:t>94.15%</w:t>
      </w:r>
      <w:r>
        <w:rPr>
          <w:rFonts w:hint="eastAsia" w:ascii="仿宋_GB2312" w:eastAsia="仿宋_GB2312"/>
          <w:sz w:val="28"/>
          <w:szCs w:val="28"/>
        </w:rPr>
        <w:t>。</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（三）整体绩效目标实现情况</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1.产出完成情况分析</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（1）产出数量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年度计划完成第32届农民艺术节、2021年美丽乡村平台宣传经费、</w:t>
      </w:r>
      <w:r>
        <w:rPr>
          <w:rFonts w:hint="eastAsia" w:ascii="仿宋_GB2312" w:eastAsia="仿宋_GB2312"/>
          <w:color w:val="auto"/>
          <w:sz w:val="28"/>
          <w:szCs w:val="28"/>
        </w:rPr>
        <w:t>宣传专用易损材料及设备维修费</w:t>
      </w:r>
      <w:r>
        <w:rPr>
          <w:rFonts w:hint="eastAsia" w:ascii="仿宋_GB2312" w:eastAsia="仿宋_GB2312"/>
          <w:sz w:val="28"/>
          <w:szCs w:val="28"/>
        </w:rPr>
        <w:t>等8项任务。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（2）产出质量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年度实际完成的8项工作任务均达到部门绩效目标要求（绩效标准值），质量达标率是100%。</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（3）产出进度</w:t>
      </w:r>
    </w:p>
    <w:p>
      <w:pPr>
        <w:pStyle w:val="2"/>
        <w:ind w:firstLine="56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年度实际完成的</w:t>
      </w:r>
      <w:r>
        <w:rPr>
          <w:rFonts w:ascii="仿宋_GB2312" w:eastAsia="仿宋_GB2312"/>
          <w:sz w:val="28"/>
          <w:szCs w:val="28"/>
        </w:rPr>
        <w:t>8</w:t>
      </w:r>
      <w:r>
        <w:rPr>
          <w:rFonts w:hint="eastAsia" w:ascii="仿宋_GB2312" w:eastAsia="仿宋_GB2312"/>
          <w:sz w:val="28"/>
          <w:szCs w:val="28"/>
        </w:rPr>
        <w:t>项工作任务均按照整体绩效目标确定的时限完成，按时完成率100%。</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 xml:space="preserve">（4）产出成本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度项目支出严格按照财务管理制度要求，通过政府采购、三方比价等方式，在保证完成工作任务的前提下降低产出成本；公用经费坚持厉行节约、务实高效的原则，提高经费使用效益。全年经费使用未超过预算金额。</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2.效果实现情况分析</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（1）经济效益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通过项目的实施，本部门财务管理工作更加规范有序，提升了部门项目的预算管理水平和资金使用绩效，内部控制制度实施更加规范。</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（2）社会效益</w:t>
      </w:r>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通过项目的实施，围绕本市“三农”工作中心任务和郊区经济社会发展需要</w:t>
      </w:r>
      <w:r>
        <w:rPr>
          <w:rFonts w:hint="eastAsia" w:ascii="仿宋_GB2312" w:eastAsia="仿宋_GB2312"/>
          <w:color w:val="auto"/>
          <w:sz w:val="28"/>
          <w:szCs w:val="28"/>
          <w:lang w:eastAsia="zh-CN"/>
        </w:rPr>
        <w:t>，</w:t>
      </w:r>
      <w:r>
        <w:rPr>
          <w:rFonts w:hint="eastAsia" w:ascii="仿宋_GB2312" w:eastAsia="仿宋_GB2312"/>
          <w:color w:val="auto"/>
          <w:sz w:val="28"/>
          <w:szCs w:val="28"/>
        </w:rPr>
        <w:t>宣传贯彻党在农村的方针政策，及时向外界反映</w:t>
      </w:r>
      <w:r>
        <w:rPr>
          <w:rFonts w:hint="eastAsia" w:ascii="仿宋_GB2312" w:eastAsia="仿宋_GB2312"/>
          <w:color w:val="auto"/>
          <w:sz w:val="28"/>
          <w:szCs w:val="28"/>
          <w:lang w:val="en-US" w:eastAsia="zh-CN"/>
        </w:rPr>
        <w:t>实施乡村振兴战略的工作思路、具体举措和丰富成果，</w:t>
      </w:r>
      <w:r>
        <w:rPr>
          <w:rFonts w:hint="eastAsia" w:ascii="仿宋_GB2312" w:eastAsia="仿宋_GB2312"/>
          <w:color w:val="auto"/>
          <w:sz w:val="28"/>
          <w:szCs w:val="28"/>
        </w:rPr>
        <w:t>保障完成全年“三农”宣传任务。</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（3）服务对象满意度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本部门服务对象对部门履职效果的满意程度≥90%。</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（四）预算管理情况分析</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1.财务管理</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（1）财务管理制度健全性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本部门预算资金管理办法、绩效跟踪管理办法、资产管理办法等各项制度健全，内部财务管理制度完整、合规，会计核算制度完整、合规。</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（2）资金使用合规性和安全性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资金使用符合国家财经法规和财务管理制度规定以及有关专项资金管理办法的规定；资金的拨付有完整的审批程序和手续；项目实施中无重大开支；资金使用符合部门预算批复的用途；不存在截留、挤占、挪用情况；资金使用符合政府采购的程序和流程；资金使用符合公务卡结算相关制度和规定。</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（3）会计基础信息完善性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本部门会计基础数据信息和会计信息资料真实、完整准确。</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2.资产管理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不存在对外投资行为；未发生严重资产损失和丢失情况；不存在超标准配置资产；资产使用规范，不存在未经批准擅自出租、出借资产行为；资产处置规范，不存在不按要求进行报批或资产不公开处置行为；严格执行资产管理制度办法。</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3.绩效管理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本部门及时对绩效信息进行汇总分析整理，对绩效目标偏离情况及时进行矫正。</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4.结转结余率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年结转结余率为5.85</w:t>
      </w:r>
      <w:r>
        <w:rPr>
          <w:rFonts w:ascii="仿宋_GB2312" w:eastAsia="仿宋_GB2312"/>
          <w:sz w:val="28"/>
          <w:szCs w:val="28"/>
        </w:rPr>
        <w:t>%</w:t>
      </w:r>
      <w:r>
        <w:rPr>
          <w:rFonts w:hint="eastAsia" w:ascii="仿宋_GB2312" w:eastAsia="仿宋_GB2312"/>
          <w:sz w:val="28"/>
          <w:szCs w:val="28"/>
        </w:rPr>
        <w:t>。</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5.部门预决算差异率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年部门预决算差异率为5.85</w:t>
      </w:r>
      <w:r>
        <w:rPr>
          <w:rFonts w:ascii="仿宋_GB2312" w:eastAsia="仿宋_GB2312"/>
          <w:sz w:val="28"/>
          <w:szCs w:val="28"/>
        </w:rPr>
        <w:t>%</w:t>
      </w:r>
      <w:r>
        <w:rPr>
          <w:rFonts w:hint="eastAsia" w:ascii="仿宋_GB2312" w:eastAsia="仿宋_GB2312"/>
          <w:sz w:val="28"/>
          <w:szCs w:val="28"/>
        </w:rPr>
        <w:t>，低于市级平均差异率。</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（五）总体评价结论</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1.评价得分情况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本部门2</w:t>
      </w:r>
      <w:r>
        <w:rPr>
          <w:rFonts w:ascii="仿宋_GB2312" w:eastAsia="仿宋_GB2312"/>
          <w:sz w:val="28"/>
          <w:szCs w:val="28"/>
        </w:rPr>
        <w:t>021</w:t>
      </w:r>
      <w:r>
        <w:rPr>
          <w:rFonts w:hint="eastAsia" w:ascii="仿宋_GB2312" w:eastAsia="仿宋_GB2312"/>
          <w:sz w:val="28"/>
          <w:szCs w:val="28"/>
        </w:rPr>
        <w:t>年度部门整体绩效评价综合得分91.6分。其中当年预算执行情况20分，整体绩效目标实现情况52分，预算管理情况19.6分。</w:t>
      </w:r>
    </w:p>
    <w:p>
      <w:pPr>
        <w:spacing w:line="580" w:lineRule="exact"/>
        <w:ind w:left="105" w:leftChars="50" w:firstLine="420" w:firstLineChars="150"/>
        <w:rPr>
          <w:rFonts w:ascii="仿宋_GB2312" w:eastAsia="仿宋_GB2312"/>
          <w:sz w:val="28"/>
          <w:szCs w:val="28"/>
        </w:rPr>
      </w:pPr>
      <w:r>
        <w:rPr>
          <w:rFonts w:hint="eastAsia" w:ascii="仿宋_GB2312" w:eastAsia="仿宋_GB2312"/>
          <w:sz w:val="28"/>
          <w:szCs w:val="28"/>
        </w:rPr>
        <w:t>2.存在的问题及原因分析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一是部分项目中长期规划和年度规划不够全面细致。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二是部分项目绩效指标设计需优化。对于项目的产出数量、质量、效益指标不够明确、细化、量化。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三是</w:t>
      </w:r>
      <w:r>
        <w:rPr>
          <w:rFonts w:hint="eastAsia" w:ascii="仿宋_GB2312" w:eastAsia="仿宋_GB2312"/>
          <w:sz w:val="28"/>
          <w:szCs w:val="28"/>
          <w:lang w:val="en-US" w:eastAsia="zh-CN"/>
        </w:rPr>
        <w:t>受</w:t>
      </w:r>
      <w:r>
        <w:rPr>
          <w:rFonts w:hint="eastAsia" w:ascii="仿宋_GB2312" w:eastAsia="仿宋_GB2312"/>
          <w:sz w:val="28"/>
          <w:szCs w:val="28"/>
        </w:rPr>
        <w:t>新冠疫情防控因素的影响，个别</w:t>
      </w:r>
      <w:r>
        <w:rPr>
          <w:rFonts w:ascii="仿宋_GB2312" w:eastAsia="仿宋_GB2312"/>
          <w:sz w:val="28"/>
          <w:szCs w:val="28"/>
        </w:rPr>
        <w:t>项目</w:t>
      </w:r>
      <w:r>
        <w:rPr>
          <w:rFonts w:hint="eastAsia" w:ascii="仿宋_GB2312" w:eastAsia="仿宋_GB2312"/>
          <w:sz w:val="28"/>
          <w:szCs w:val="28"/>
        </w:rPr>
        <w:t>未能够按照年度预算计划完全执行。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四是部分项目满意度调查问卷内容需进一步完善。</w:t>
      </w:r>
    </w:p>
    <w:p>
      <w:pPr>
        <w:spacing w:line="560" w:lineRule="exact"/>
        <w:ind w:firstLine="560" w:firstLineChars="200"/>
        <w:rPr>
          <w:rFonts w:ascii="仿宋_GB2312" w:eastAsia="仿宋_GB2312"/>
          <w:color w:val="auto"/>
          <w:sz w:val="28"/>
          <w:szCs w:val="28"/>
        </w:rPr>
      </w:pPr>
      <w:r>
        <w:rPr>
          <w:rFonts w:hint="eastAsia" w:ascii="仿宋_GB2312" w:eastAsia="仿宋_GB2312"/>
          <w:sz w:val="28"/>
          <w:szCs w:val="28"/>
        </w:rPr>
        <w:t>存在上述问题的原因是在绩效管理工作中，对于细节的处理还需进一步完善，对于相关政策的学习还需进一步加强，</w:t>
      </w:r>
      <w:r>
        <w:rPr>
          <w:rFonts w:hint="eastAsia" w:ascii="仿宋_GB2312" w:eastAsia="仿宋_GB2312"/>
          <w:color w:val="auto"/>
          <w:sz w:val="28"/>
          <w:szCs w:val="28"/>
        </w:rPr>
        <w:t>以及新冠疫情防控等不可抗因素的影响。</w:t>
      </w:r>
    </w:p>
    <w:p>
      <w:pPr>
        <w:pStyle w:val="2"/>
        <w:spacing w:line="580" w:lineRule="exact"/>
        <w:ind w:firstLine="560"/>
        <w:rPr>
          <w:rFonts w:ascii="仿宋_GB2312" w:eastAsia="仿宋_GB2312"/>
          <w:sz w:val="28"/>
          <w:szCs w:val="28"/>
        </w:rPr>
      </w:pPr>
      <w:r>
        <w:rPr>
          <w:rFonts w:hint="eastAsia" w:ascii="仿宋_GB2312" w:eastAsia="仿宋_GB2312"/>
          <w:sz w:val="28"/>
          <w:szCs w:val="28"/>
        </w:rPr>
        <w:t>（六）措施建议（整改措施、下一步工作举措）</w:t>
      </w:r>
      <w:bookmarkStart w:id="0" w:name="_GoBack"/>
      <w:bookmarkEnd w:id="0"/>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是加强项目前期技术方案的研讨论证。在做好实地调研基础上，结合政策，制定针对性的中长期规划和年度重点计划，形成年度任务递进和提升目标，作为项目申报依据，提高年度间运行方式和绩效成果的不断创新和改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二是科学编制绩效指标。从产出指标、效益指标、满意度指标三个方面填报，尽可能细化、量化各项指标。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三是严格执行预算，如遇特殊因素导致预算不能按计划执行，及时履行预算调整程序，上缴。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四是满意度调查问卷增加样本量，拓展调查范围，不断提高工作质量、效率。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N2I1ZjVlZmVjNjRlNThhYzE3NjRkODA3MmY1OWYifQ=="/>
  </w:docVars>
  <w:rsids>
    <w:rsidRoot w:val="0070684A"/>
    <w:rsid w:val="00294823"/>
    <w:rsid w:val="003D4C72"/>
    <w:rsid w:val="0070684A"/>
    <w:rsid w:val="00895817"/>
    <w:rsid w:val="00A01108"/>
    <w:rsid w:val="00C579B7"/>
    <w:rsid w:val="0FE321B7"/>
    <w:rsid w:val="493774E0"/>
    <w:rsid w:val="650C2BB5"/>
    <w:rsid w:val="70B94296"/>
    <w:rsid w:val="7508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2157</Words>
  <Characters>2266</Characters>
  <Lines>16</Lines>
  <Paragraphs>4</Paragraphs>
  <TotalTime>14</TotalTime>
  <ScaleCrop>false</ScaleCrop>
  <LinksUpToDate>false</LinksUpToDate>
  <CharactersWithSpaces>2277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2022-08-22T06:49:00Z</dcterms:created>
  <dc:creator>dell</dc:creator>
  <cp:lastModifiedBy>WPS_1657591827</cp:lastModifiedBy>
  <dcterms:modified xsi:type="dcterms:W3CDTF">2022-08-26T03:21:23Z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A62929A7990D4BF6A5E65E4A4A88AD7F</vt:lpwstr>
  </property>
</Properties>
</file>