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600" w:lineRule="exact"/>
        <w:rPr>
          <w:rFonts w:ascii="黑体" w:hAnsi="黑体" w:eastAsia="黑体"/>
          <w:sz w:val="32"/>
          <w:szCs w:val="32"/>
        </w:rPr>
      </w:pPr>
      <w:r>
        <w:rPr>
          <w:rFonts w:hint="eastAsia" w:ascii="黑体" w:hAnsi="黑体" w:eastAsia="黑体"/>
          <w:sz w:val="32"/>
          <w:szCs w:val="32"/>
        </w:rPr>
        <w:t>附件1</w:t>
      </w:r>
    </w:p>
    <w:p>
      <w:pPr>
        <w:pStyle w:val="12"/>
        <w:shd w:val="clear" w:color="auto" w:fill="FFFFFF"/>
        <w:spacing w:before="312" w:beforeLines="100" w:beforeAutospacing="0" w:after="312" w:afterLines="100" w:afterAutospacing="0" w:line="60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 xml:space="preserve"> “北京优农”品牌认定管理办法（试行）</w:t>
      </w:r>
    </w:p>
    <w:p>
      <w:pPr>
        <w:pStyle w:val="12"/>
        <w:shd w:val="clear" w:color="auto" w:fill="FFFFFF"/>
        <w:spacing w:before="312" w:beforeLines="100" w:beforeAutospacing="0" w:after="312" w:afterLines="100" w:afterAutospacing="0" w:line="600" w:lineRule="exact"/>
        <w:jc w:val="center"/>
        <w:rPr>
          <w:rFonts w:ascii="黑体" w:hAnsi="黑体" w:eastAsia="黑体"/>
          <w:sz w:val="32"/>
          <w:szCs w:val="32"/>
        </w:rPr>
      </w:pPr>
      <w:r>
        <w:rPr>
          <w:rFonts w:hint="eastAsia" w:ascii="黑体" w:hAnsi="黑体" w:eastAsia="黑体"/>
          <w:sz w:val="32"/>
          <w:szCs w:val="32"/>
        </w:rPr>
        <w:t>第一章 总 则</w:t>
      </w:r>
    </w:p>
    <w:p>
      <w:pPr>
        <w:pStyle w:val="12"/>
        <w:shd w:val="clear" w:color="auto" w:fill="FFFFFF"/>
        <w:spacing w:before="0" w:beforeAutospacing="0" w:after="0" w:afterAutospacing="0" w:line="600" w:lineRule="exact"/>
        <w:ind w:firstLine="642" w:firstLineChars="200"/>
        <w:jc w:val="both"/>
        <w:rPr>
          <w:rFonts w:ascii="仿宋_GB2312" w:hAnsi="仿宋" w:eastAsia="仿宋_GB2312"/>
          <w:sz w:val="32"/>
          <w:szCs w:val="32"/>
        </w:rPr>
      </w:pPr>
      <w:r>
        <w:rPr>
          <w:rFonts w:hint="eastAsia" w:ascii="仿宋_GB2312" w:hAnsi="仿宋" w:eastAsia="仿宋_GB2312"/>
          <w:b/>
          <w:sz w:val="32"/>
          <w:szCs w:val="32"/>
        </w:rPr>
        <w:t xml:space="preserve">第一条 </w:t>
      </w:r>
      <w:r>
        <w:rPr>
          <w:rFonts w:hint="eastAsia" w:ascii="仿宋_GB2312" w:hAnsi="仿宋" w:eastAsia="仿宋_GB2312"/>
          <w:bCs/>
          <w:sz w:val="32"/>
          <w:szCs w:val="32"/>
        </w:rPr>
        <w:t>为深入贯彻落实《关于全面推进乡村振兴加快农业农村现代化的实施方案》（京发〔2021〕9号）有关要求，</w:t>
      </w:r>
      <w:r>
        <w:rPr>
          <w:rFonts w:hint="eastAsia" w:ascii="仿宋_GB2312" w:hAnsi="仿宋" w:eastAsia="仿宋_GB2312"/>
          <w:sz w:val="32"/>
          <w:szCs w:val="32"/>
        </w:rPr>
        <w:t>持续推进品牌强农战略，加强北京农业品牌建设，助力乡村全面振兴，规范“北京优农”品牌的认定与管理工作，特制定本办法。</w:t>
      </w:r>
    </w:p>
    <w:p>
      <w:pPr>
        <w:pStyle w:val="19"/>
        <w:spacing w:line="600" w:lineRule="exact"/>
        <w:ind w:firstLine="600"/>
        <w:rPr>
          <w:rFonts w:ascii="仿宋_GB2312" w:hAnsi="仿宋" w:eastAsia="仿宋_GB2312" w:cstheme="minorBidi"/>
          <w:color w:val="auto"/>
          <w:sz w:val="32"/>
          <w:szCs w:val="32"/>
        </w:rPr>
      </w:pPr>
      <w:r>
        <w:rPr>
          <w:rFonts w:hint="eastAsia" w:ascii="仿宋_GB2312" w:hAnsi="仿宋" w:eastAsia="仿宋_GB2312" w:cs="宋体"/>
          <w:b/>
          <w:color w:val="auto"/>
          <w:kern w:val="0"/>
          <w:sz w:val="32"/>
          <w:szCs w:val="32"/>
        </w:rPr>
        <w:t xml:space="preserve">第二条 </w:t>
      </w:r>
      <w:r>
        <w:rPr>
          <w:rFonts w:hint="eastAsia" w:ascii="仿宋_GB2312" w:hAnsi="仿宋" w:eastAsia="仿宋_GB2312"/>
          <w:sz w:val="32"/>
          <w:szCs w:val="32"/>
        </w:rPr>
        <w:t>“北京优农”品牌认定以本地</w:t>
      </w:r>
      <w:r>
        <w:rPr>
          <w:rFonts w:hint="eastAsia" w:ascii="仿宋_GB2312" w:hAnsi="仿宋" w:eastAsia="仿宋_GB2312" w:cstheme="minorBidi"/>
          <w:color w:val="auto"/>
          <w:sz w:val="32"/>
          <w:szCs w:val="32"/>
        </w:rPr>
        <w:t>种植业、畜牧业和渔业类的初级农产品及其初加工产品的品牌为主，</w:t>
      </w:r>
      <w:r>
        <w:rPr>
          <w:rFonts w:hint="eastAsia" w:ascii="仿宋_GB2312" w:hAnsi="仿宋" w:eastAsia="仿宋_GB2312" w:cstheme="minorBidi"/>
          <w:color w:val="auto"/>
          <w:sz w:val="32"/>
          <w:szCs w:val="32"/>
          <w:lang w:eastAsia="zh-CN"/>
        </w:rPr>
        <w:t>并</w:t>
      </w:r>
      <w:r>
        <w:rPr>
          <w:rFonts w:hint="eastAsia" w:ascii="仿宋_GB2312" w:hAnsi="仿宋" w:eastAsia="仿宋_GB2312" w:cstheme="minorBidi"/>
          <w:color w:val="auto"/>
          <w:sz w:val="32"/>
          <w:szCs w:val="32"/>
        </w:rPr>
        <w:t>开展精深加工产品、非遗产品等品牌的认定。</w:t>
      </w:r>
    </w:p>
    <w:p>
      <w:pPr>
        <w:pStyle w:val="19"/>
        <w:spacing w:line="600" w:lineRule="exact"/>
        <w:ind w:firstLine="600"/>
        <w:rPr>
          <w:rFonts w:ascii="仿宋_GB2312" w:hAnsi="仿宋" w:eastAsia="仿宋_GB2312"/>
          <w:sz w:val="32"/>
          <w:szCs w:val="32"/>
        </w:rPr>
      </w:pPr>
      <w:r>
        <w:rPr>
          <w:rFonts w:hint="eastAsia" w:ascii="仿宋_GB2312" w:hAnsi="仿宋" w:eastAsia="仿宋_GB2312" w:cs="宋体"/>
          <w:b/>
          <w:color w:val="auto"/>
          <w:kern w:val="0"/>
          <w:sz w:val="32"/>
          <w:szCs w:val="32"/>
        </w:rPr>
        <w:t xml:space="preserve">第三条 </w:t>
      </w:r>
      <w:r>
        <w:rPr>
          <w:rFonts w:hint="eastAsia" w:ascii="仿宋_GB2312" w:hAnsi="仿宋" w:eastAsia="仿宋_GB2312"/>
          <w:sz w:val="32"/>
          <w:szCs w:val="32"/>
        </w:rPr>
        <w:t>“北京优农”品牌认定管理坚持自愿、科学、公平、公正、公开的原则，以政府积极推动、引导、监督为保障，为品牌背书。</w:t>
      </w:r>
    </w:p>
    <w:p>
      <w:pPr>
        <w:pStyle w:val="19"/>
        <w:spacing w:line="600" w:lineRule="exact"/>
        <w:ind w:firstLine="600"/>
        <w:rPr>
          <w:rFonts w:ascii="仿宋_GB2312" w:hAnsi="仿宋" w:eastAsia="仿宋_GB2312"/>
          <w:sz w:val="32"/>
          <w:szCs w:val="32"/>
        </w:rPr>
      </w:pPr>
      <w:r>
        <w:rPr>
          <w:rFonts w:hint="eastAsia" w:ascii="仿宋_GB2312" w:hAnsi="仿宋" w:eastAsia="仿宋_GB2312"/>
          <w:b/>
          <w:sz w:val="32"/>
          <w:szCs w:val="32"/>
        </w:rPr>
        <w:t xml:space="preserve">第四条 </w:t>
      </w:r>
      <w:r>
        <w:rPr>
          <w:rFonts w:hint="eastAsia" w:ascii="仿宋_GB2312" w:hAnsi="仿宋" w:eastAsia="仿宋_GB2312"/>
          <w:sz w:val="32"/>
          <w:szCs w:val="32"/>
        </w:rPr>
        <w:t>本市各级农业农村主管部门应加强对“北京优农”品牌的政策引导、技术应用、宣传推广、品牌保护等方面的支持。</w:t>
      </w:r>
    </w:p>
    <w:p>
      <w:pPr>
        <w:pStyle w:val="12"/>
        <w:shd w:val="clear" w:color="auto" w:fill="FFFFFF"/>
        <w:spacing w:before="312" w:beforeLines="100" w:beforeAutospacing="0" w:after="312" w:afterLines="100" w:afterAutospacing="0" w:line="600" w:lineRule="exact"/>
        <w:jc w:val="center"/>
        <w:rPr>
          <w:rFonts w:ascii="黑体" w:hAnsi="黑体" w:eastAsia="黑体"/>
          <w:sz w:val="32"/>
          <w:szCs w:val="32"/>
        </w:rPr>
      </w:pPr>
      <w:r>
        <w:rPr>
          <w:rFonts w:hint="eastAsia" w:ascii="黑体" w:hAnsi="黑体" w:eastAsia="黑体"/>
          <w:sz w:val="32"/>
          <w:szCs w:val="32"/>
        </w:rPr>
        <w:t>第二章 组织管理</w:t>
      </w:r>
    </w:p>
    <w:p>
      <w:pPr>
        <w:pStyle w:val="12"/>
        <w:shd w:val="clear" w:color="auto" w:fill="FFFFFF"/>
        <w:spacing w:before="0" w:beforeAutospacing="0" w:after="0" w:afterAutospacing="0" w:line="600" w:lineRule="exact"/>
        <w:ind w:firstLine="555"/>
        <w:jc w:val="both"/>
        <w:rPr>
          <w:rFonts w:ascii="仿宋_GB2312" w:hAnsi="仿宋" w:eastAsia="仿宋_GB2312" w:cs="Calibri"/>
          <w:color w:val="000000"/>
          <w:kern w:val="2"/>
          <w:sz w:val="32"/>
          <w:szCs w:val="32"/>
        </w:rPr>
      </w:pPr>
      <w:r>
        <w:rPr>
          <w:rFonts w:hint="eastAsia" w:ascii="仿宋_GB2312" w:hAnsi="仿宋" w:eastAsia="仿宋_GB2312"/>
          <w:b/>
          <w:sz w:val="32"/>
          <w:szCs w:val="32"/>
        </w:rPr>
        <w:t xml:space="preserve">第五条 </w:t>
      </w:r>
      <w:r>
        <w:rPr>
          <w:rFonts w:hint="eastAsia" w:ascii="仿宋_GB2312" w:hAnsi="仿宋" w:eastAsia="仿宋_GB2312" w:cs="Calibri"/>
          <w:color w:val="000000"/>
          <w:kern w:val="2"/>
          <w:sz w:val="32"/>
          <w:szCs w:val="32"/>
        </w:rPr>
        <w:t>“北京优农”品牌的认定与管理工作在北京市农业农村局市场与信息化处的</w:t>
      </w:r>
      <w:r>
        <w:rPr>
          <w:rFonts w:ascii="仿宋_GB2312" w:hAnsi="仿宋" w:eastAsia="仿宋_GB2312" w:cs="Calibri"/>
          <w:color w:val="000000"/>
          <w:kern w:val="2"/>
          <w:sz w:val="32"/>
          <w:szCs w:val="32"/>
        </w:rPr>
        <w:t>指导</w:t>
      </w:r>
      <w:r>
        <w:rPr>
          <w:rFonts w:hint="eastAsia" w:ascii="仿宋_GB2312" w:hAnsi="仿宋" w:eastAsia="仿宋_GB2312" w:cs="Calibri"/>
          <w:color w:val="000000"/>
          <w:kern w:val="2"/>
          <w:sz w:val="32"/>
          <w:szCs w:val="32"/>
        </w:rPr>
        <w:t>下</w:t>
      </w:r>
      <w:r>
        <w:rPr>
          <w:rFonts w:ascii="仿宋_GB2312" w:hAnsi="仿宋" w:eastAsia="仿宋_GB2312" w:cs="Calibri"/>
          <w:color w:val="000000"/>
          <w:kern w:val="2"/>
          <w:sz w:val="32"/>
          <w:szCs w:val="32"/>
        </w:rPr>
        <w:t>，</w:t>
      </w:r>
      <w:r>
        <w:rPr>
          <w:rFonts w:hint="eastAsia" w:ascii="仿宋_GB2312" w:hAnsi="仿宋" w:eastAsia="仿宋_GB2312" w:cs="Calibri"/>
          <w:color w:val="000000"/>
          <w:kern w:val="2"/>
          <w:sz w:val="32"/>
          <w:szCs w:val="32"/>
        </w:rPr>
        <w:t>由北京市数字农业农村促进中心（以下简称“数字中心”）组织北京农业产业化龙头企业协</w:t>
      </w:r>
      <w:bookmarkStart w:id="1" w:name="_GoBack"/>
      <w:bookmarkEnd w:id="1"/>
      <w:r>
        <w:rPr>
          <w:rFonts w:hint="eastAsia" w:ascii="仿宋_GB2312" w:hAnsi="仿宋" w:eastAsia="仿宋_GB2312" w:cs="Calibri"/>
          <w:color w:val="000000"/>
          <w:kern w:val="2"/>
          <w:sz w:val="32"/>
          <w:szCs w:val="32"/>
        </w:rPr>
        <w:t>会、北京农产品流通协会、北京农学会、北京果树学会、北京畜牧业协会、北京农业电商协会、北京农村专业技术协会和北京观光休闲农业行业协会等8家协（学）会共同开展，并成立“北京优农”品牌认定与管理工作组负责以下具体工作。</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color w:val="FF0000"/>
          <w:sz w:val="32"/>
          <w:szCs w:val="32"/>
        </w:rPr>
      </w:pPr>
      <w:r>
        <w:rPr>
          <w:rFonts w:hint="eastAsia" w:ascii="仿宋_GB2312" w:hAnsi="仿宋" w:eastAsia="仿宋_GB2312"/>
          <w:sz w:val="32"/>
          <w:szCs w:val="32"/>
          <w:lang w:val="en"/>
        </w:rPr>
        <w:t>（一）</w:t>
      </w:r>
      <w:r>
        <w:rPr>
          <w:rFonts w:hint="eastAsia" w:ascii="仿宋_GB2312" w:hAnsi="仿宋" w:eastAsia="仿宋_GB2312"/>
          <w:sz w:val="32"/>
          <w:szCs w:val="32"/>
        </w:rPr>
        <w:t>制定“北京优农”品牌的相关标准及规范性文件；</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
        </w:rPr>
        <w:t>（二）</w:t>
      </w:r>
      <w:r>
        <w:rPr>
          <w:rFonts w:hint="eastAsia" w:ascii="仿宋_GB2312" w:hAnsi="仿宋" w:eastAsia="仿宋_GB2312"/>
          <w:sz w:val="32"/>
          <w:szCs w:val="32"/>
        </w:rPr>
        <w:t>开展“北京优农”品牌申报主体的资格审查和</w:t>
      </w:r>
      <w:r>
        <w:rPr>
          <w:rFonts w:hint="eastAsia" w:ascii="仿宋_GB2312" w:hAnsi="仿宋" w:eastAsia="仿宋_GB2312"/>
          <w:sz w:val="32"/>
          <w:szCs w:val="32"/>
          <w:lang w:eastAsia="zh-CN"/>
        </w:rPr>
        <w:t>信息核查</w:t>
      </w:r>
      <w:r>
        <w:rPr>
          <w:rFonts w:hint="eastAsia" w:ascii="仿宋_GB2312" w:hAnsi="仿宋" w:eastAsia="仿宋_GB2312"/>
          <w:sz w:val="32"/>
          <w:szCs w:val="32"/>
        </w:rPr>
        <w:t>；</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
        </w:rPr>
        <w:t>（三）</w:t>
      </w:r>
      <w:r>
        <w:rPr>
          <w:rFonts w:hint="eastAsia" w:ascii="仿宋_GB2312" w:hAnsi="仿宋" w:eastAsia="仿宋_GB2312"/>
          <w:sz w:val="32"/>
          <w:szCs w:val="32"/>
        </w:rPr>
        <w:t>组织“北京优农”品牌的认定评审工作；</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
        </w:rPr>
        <w:t>（四）</w:t>
      </w:r>
      <w:r>
        <w:rPr>
          <w:rFonts w:hint="eastAsia" w:ascii="仿宋_GB2312" w:hAnsi="仿宋" w:eastAsia="仿宋_GB2312"/>
          <w:sz w:val="32"/>
          <w:szCs w:val="32"/>
        </w:rPr>
        <w:t>发布《“北京优农”品牌目录》；</w:t>
      </w:r>
    </w:p>
    <w:p>
      <w:pPr>
        <w:pStyle w:val="12"/>
        <w:shd w:val="clear" w:color="auto" w:fill="FFFFFF"/>
        <w:spacing w:before="0" w:beforeAutospacing="0" w:after="0" w:afterAutospacing="0" w:line="600" w:lineRule="exact"/>
        <w:ind w:firstLine="640" w:firstLineChars="200"/>
        <w:jc w:val="both"/>
        <w:rPr>
          <w:rFonts w:ascii="仿宋" w:hAnsi="仿宋" w:eastAsia="仿宋"/>
          <w:sz w:val="32"/>
          <w:szCs w:val="32"/>
        </w:rPr>
      </w:pPr>
      <w:r>
        <w:rPr>
          <w:rFonts w:hint="eastAsia" w:ascii="仿宋_GB2312" w:hAnsi="仿宋" w:eastAsia="仿宋_GB2312"/>
          <w:sz w:val="32"/>
          <w:szCs w:val="32"/>
        </w:rPr>
        <w:t>（五）实施“北京优农”品牌动态管理办法。</w:t>
      </w:r>
    </w:p>
    <w:p>
      <w:pPr>
        <w:pStyle w:val="12"/>
        <w:shd w:val="clear" w:color="auto" w:fill="FFFFFF"/>
        <w:spacing w:before="312" w:beforeLines="100" w:beforeAutospacing="0" w:after="312" w:afterLines="100" w:afterAutospacing="0" w:line="600" w:lineRule="exact"/>
        <w:jc w:val="center"/>
        <w:rPr>
          <w:rFonts w:ascii="黑体" w:hAnsi="黑体" w:eastAsia="黑体"/>
          <w:sz w:val="32"/>
          <w:szCs w:val="32"/>
        </w:rPr>
      </w:pPr>
      <w:r>
        <w:rPr>
          <w:rFonts w:hint="eastAsia" w:ascii="黑体" w:hAnsi="黑体" w:eastAsia="黑体"/>
          <w:sz w:val="32"/>
          <w:szCs w:val="32"/>
        </w:rPr>
        <w:t>第三章 申报条件</w:t>
      </w:r>
    </w:p>
    <w:p>
      <w:pPr>
        <w:pStyle w:val="12"/>
        <w:shd w:val="clear" w:color="auto" w:fill="FFFFFF"/>
        <w:spacing w:before="0" w:beforeAutospacing="0" w:after="0" w:afterAutospacing="0" w:line="600" w:lineRule="exact"/>
        <w:ind w:firstLine="642" w:firstLineChars="200"/>
        <w:jc w:val="both"/>
        <w:rPr>
          <w:rFonts w:ascii="仿宋_GB2312" w:hAnsi="仿宋" w:eastAsia="仿宋_GB2312"/>
          <w:sz w:val="32"/>
          <w:szCs w:val="32"/>
        </w:rPr>
      </w:pPr>
      <w:r>
        <w:rPr>
          <w:rFonts w:hint="eastAsia" w:ascii="仿宋_GB2312" w:hAnsi="仿宋" w:eastAsia="仿宋_GB2312"/>
          <w:b/>
          <w:sz w:val="32"/>
          <w:szCs w:val="32"/>
        </w:rPr>
        <w:t xml:space="preserve">第六条 </w:t>
      </w:r>
      <w:r>
        <w:rPr>
          <w:rFonts w:hint="eastAsia" w:ascii="仿宋_GB2312" w:hAnsi="仿宋" w:eastAsia="仿宋_GB2312"/>
          <w:sz w:val="32"/>
          <w:szCs w:val="32"/>
        </w:rPr>
        <w:t>“北京优农”品牌分为区域公用品牌、企业品牌和产品品牌三类，申报范围包括：</w:t>
      </w:r>
    </w:p>
    <w:p>
      <w:pPr>
        <w:pStyle w:val="20"/>
        <w:ind w:firstLine="640"/>
        <w:rPr>
          <w:rFonts w:ascii="仿宋_GB2312" w:hAnsi="仿宋" w:eastAsia="仿宋_GB2312" w:cs="宋体"/>
          <w:kern w:val="0"/>
          <w:sz w:val="32"/>
          <w:szCs w:val="32"/>
        </w:rPr>
      </w:pPr>
      <w:bookmarkStart w:id="0" w:name="_Toc83579756"/>
      <w:r>
        <w:rPr>
          <w:rFonts w:hint="eastAsia" w:ascii="仿宋_GB2312" w:hAnsi="仿宋" w:eastAsia="仿宋_GB2312" w:cs="宋体"/>
          <w:kern w:val="0"/>
          <w:sz w:val="32"/>
          <w:szCs w:val="32"/>
        </w:rPr>
        <w:t>区域公用品牌</w:t>
      </w:r>
      <w:bookmarkEnd w:id="0"/>
      <w:r>
        <w:rPr>
          <w:rFonts w:hint="eastAsia" w:ascii="仿宋_GB2312" w:hAnsi="仿宋" w:eastAsia="仿宋_GB2312" w:cs="宋体"/>
          <w:kern w:val="0"/>
          <w:sz w:val="32"/>
          <w:szCs w:val="32"/>
        </w:rPr>
        <w:t>是指特定区域内相关机构、企业、用户等所共用，在生产地域范围、品种品质管理、品牌使用许可、品牌行销与传播等方面具有共同诉求与行动，以联合提高区域内外消费者评价，使区域产品与形象共同发展的农产品品牌。</w:t>
      </w:r>
    </w:p>
    <w:p>
      <w:pPr>
        <w:pStyle w:val="20"/>
        <w:ind w:firstLine="640"/>
        <w:rPr>
          <w:rFonts w:ascii="仿宋_GB2312" w:hAnsi="仿宋" w:eastAsia="仿宋_GB2312" w:cs="宋体"/>
          <w:kern w:val="0"/>
          <w:sz w:val="32"/>
          <w:szCs w:val="32"/>
        </w:rPr>
      </w:pPr>
      <w:r>
        <w:rPr>
          <w:rFonts w:hint="eastAsia" w:ascii="仿宋_GB2312" w:hAnsi="仿宋" w:eastAsia="仿宋_GB2312" w:cs="宋体"/>
          <w:kern w:val="0"/>
          <w:sz w:val="32"/>
          <w:szCs w:val="32"/>
        </w:rPr>
        <w:t>企业品牌是</w:t>
      </w:r>
      <w:r>
        <w:rPr>
          <w:rFonts w:ascii="仿宋_GB2312" w:hAnsi="仿宋" w:eastAsia="仿宋_GB2312" w:cs="宋体"/>
          <w:kern w:val="0"/>
          <w:sz w:val="32"/>
          <w:szCs w:val="32"/>
        </w:rPr>
        <w:t>指</w:t>
      </w:r>
      <w:r>
        <w:rPr>
          <w:rFonts w:hint="eastAsia" w:ascii="仿宋_GB2312" w:hAnsi="仿宋" w:eastAsia="仿宋_GB2312" w:cs="宋体"/>
          <w:kern w:val="0"/>
          <w:sz w:val="32"/>
          <w:szCs w:val="32"/>
        </w:rPr>
        <w:t>品牌</w:t>
      </w:r>
      <w:r>
        <w:rPr>
          <w:rFonts w:ascii="仿宋_GB2312" w:hAnsi="仿宋" w:eastAsia="仿宋_GB2312" w:cs="宋体"/>
          <w:kern w:val="0"/>
          <w:sz w:val="32"/>
          <w:szCs w:val="32"/>
        </w:rPr>
        <w:t>以</w:t>
      </w:r>
      <w:r>
        <w:rPr>
          <w:rFonts w:hint="eastAsia" w:ascii="仿宋_GB2312" w:hAnsi="仿宋" w:eastAsia="仿宋_GB2312" w:cs="宋体"/>
          <w:kern w:val="0"/>
          <w:sz w:val="32"/>
          <w:szCs w:val="32"/>
        </w:rPr>
        <w:t>企业（合作社）名称命名</w:t>
      </w:r>
      <w:r>
        <w:rPr>
          <w:rFonts w:ascii="仿宋_GB2312" w:hAnsi="仿宋" w:eastAsia="仿宋_GB2312" w:cs="宋体"/>
          <w:kern w:val="0"/>
          <w:sz w:val="32"/>
          <w:szCs w:val="32"/>
        </w:rPr>
        <w:t>，</w:t>
      </w:r>
      <w:r>
        <w:rPr>
          <w:rFonts w:hint="eastAsia" w:ascii="仿宋_GB2312" w:hAnsi="仿宋" w:eastAsia="仿宋_GB2312" w:cs="宋体"/>
          <w:kern w:val="0"/>
          <w:sz w:val="32"/>
          <w:szCs w:val="32"/>
        </w:rPr>
        <w:t>以</w:t>
      </w:r>
      <w:r>
        <w:rPr>
          <w:rFonts w:ascii="仿宋_GB2312" w:hAnsi="仿宋" w:eastAsia="仿宋_GB2312" w:cs="宋体"/>
          <w:kern w:val="0"/>
          <w:sz w:val="32"/>
          <w:szCs w:val="32"/>
        </w:rPr>
        <w:t>农产品生产</w:t>
      </w:r>
      <w:r>
        <w:rPr>
          <w:rFonts w:hint="eastAsia" w:ascii="仿宋_GB2312" w:hAnsi="仿宋" w:eastAsia="仿宋_GB2312" w:cs="宋体"/>
          <w:kern w:val="0"/>
          <w:sz w:val="32"/>
          <w:szCs w:val="32"/>
        </w:rPr>
        <w:t>、加工、</w:t>
      </w:r>
      <w:r>
        <w:rPr>
          <w:rFonts w:ascii="仿宋_GB2312" w:hAnsi="仿宋" w:eastAsia="仿宋_GB2312" w:cs="宋体"/>
          <w:kern w:val="0"/>
          <w:sz w:val="32"/>
          <w:szCs w:val="32"/>
        </w:rPr>
        <w:t>流通</w:t>
      </w:r>
      <w:r>
        <w:rPr>
          <w:rFonts w:hint="eastAsia" w:ascii="仿宋_GB2312" w:hAnsi="仿宋" w:eastAsia="仿宋_GB2312" w:cs="宋体"/>
          <w:kern w:val="0"/>
          <w:sz w:val="32"/>
          <w:szCs w:val="32"/>
        </w:rPr>
        <w:t>等为主</w:t>
      </w:r>
      <w:r>
        <w:rPr>
          <w:rFonts w:ascii="仿宋_GB2312" w:hAnsi="仿宋" w:eastAsia="仿宋_GB2312" w:cs="宋体"/>
          <w:kern w:val="0"/>
          <w:sz w:val="32"/>
          <w:szCs w:val="32"/>
        </w:rPr>
        <w:t>，</w:t>
      </w:r>
      <w:r>
        <w:rPr>
          <w:rFonts w:hint="eastAsia" w:ascii="仿宋_GB2312" w:hAnsi="仿宋" w:eastAsia="仿宋_GB2312" w:cs="宋体"/>
          <w:kern w:val="0"/>
          <w:sz w:val="32"/>
          <w:szCs w:val="32"/>
          <w:lang w:eastAsia="zh-CN"/>
        </w:rPr>
        <w:t>坚持产业融合发展，</w:t>
      </w:r>
      <w:r>
        <w:rPr>
          <w:rFonts w:hint="eastAsia" w:ascii="仿宋_GB2312" w:hAnsi="仿宋" w:eastAsia="仿宋_GB2312" w:cs="宋体"/>
          <w:kern w:val="0"/>
          <w:sz w:val="32"/>
          <w:szCs w:val="32"/>
        </w:rPr>
        <w:t>注重企业</w:t>
      </w:r>
      <w:r>
        <w:rPr>
          <w:rFonts w:hint="eastAsia" w:ascii="仿宋_GB2312" w:hAnsi="仿宋" w:eastAsia="仿宋_GB2312" w:cs="宋体"/>
          <w:kern w:val="0"/>
          <w:sz w:val="32"/>
          <w:szCs w:val="32"/>
          <w:lang w:eastAsia="zh-CN"/>
        </w:rPr>
        <w:t>整体</w:t>
      </w:r>
      <w:r>
        <w:rPr>
          <w:rFonts w:hint="eastAsia" w:ascii="仿宋_GB2312" w:hAnsi="仿宋" w:eastAsia="仿宋_GB2312" w:cs="宋体"/>
          <w:kern w:val="0"/>
          <w:sz w:val="32"/>
          <w:szCs w:val="32"/>
        </w:rPr>
        <w:t>形象</w:t>
      </w:r>
      <w:r>
        <w:rPr>
          <w:rFonts w:ascii="仿宋_GB2312" w:hAnsi="仿宋" w:eastAsia="仿宋_GB2312" w:cs="宋体"/>
          <w:kern w:val="0"/>
          <w:sz w:val="32"/>
          <w:szCs w:val="32"/>
        </w:rPr>
        <w:t>和文化传播，</w:t>
      </w:r>
      <w:r>
        <w:rPr>
          <w:rFonts w:hint="eastAsia" w:ascii="仿宋_GB2312" w:hAnsi="仿宋" w:eastAsia="仿宋_GB2312" w:cs="宋体"/>
          <w:kern w:val="0"/>
          <w:sz w:val="32"/>
          <w:szCs w:val="32"/>
        </w:rPr>
        <w:t>达到一定规模和影响力，在</w:t>
      </w:r>
      <w:r>
        <w:rPr>
          <w:rFonts w:hint="eastAsia" w:ascii="仿宋_GB2312" w:hAnsi="仿宋" w:eastAsia="仿宋_GB2312" w:cs="宋体"/>
          <w:kern w:val="0"/>
          <w:sz w:val="32"/>
          <w:szCs w:val="32"/>
          <w:lang w:eastAsia="zh-CN"/>
        </w:rPr>
        <w:t>品牌竞争力</w:t>
      </w:r>
      <w:r>
        <w:rPr>
          <w:rFonts w:ascii="仿宋_GB2312" w:hAnsi="仿宋" w:eastAsia="仿宋_GB2312" w:cs="宋体"/>
          <w:kern w:val="0"/>
          <w:sz w:val="32"/>
          <w:szCs w:val="32"/>
        </w:rPr>
        <w:t>、</w:t>
      </w:r>
      <w:r>
        <w:rPr>
          <w:rFonts w:hint="eastAsia" w:ascii="仿宋_GB2312" w:hAnsi="仿宋" w:eastAsia="仿宋_GB2312" w:cs="宋体"/>
          <w:kern w:val="0"/>
          <w:sz w:val="32"/>
          <w:szCs w:val="32"/>
          <w:lang w:eastAsia="zh-CN"/>
        </w:rPr>
        <w:t>支撑力、影响力、带动力</w:t>
      </w:r>
      <w:r>
        <w:rPr>
          <w:rFonts w:ascii="仿宋_GB2312" w:hAnsi="仿宋" w:eastAsia="仿宋_GB2312" w:cs="宋体"/>
          <w:kern w:val="0"/>
          <w:sz w:val="32"/>
          <w:szCs w:val="32"/>
        </w:rPr>
        <w:t>等方面比同类</w:t>
      </w:r>
      <w:r>
        <w:rPr>
          <w:rFonts w:hint="eastAsia" w:ascii="仿宋_GB2312" w:hAnsi="仿宋" w:eastAsia="仿宋_GB2312" w:cs="宋体"/>
          <w:kern w:val="0"/>
          <w:sz w:val="32"/>
          <w:szCs w:val="32"/>
        </w:rPr>
        <w:t>企业更具优势的品牌。</w:t>
      </w:r>
    </w:p>
    <w:p>
      <w:pPr>
        <w:pStyle w:val="20"/>
        <w:ind w:firstLine="640"/>
        <w:rPr>
          <w:rFonts w:ascii="楷体" w:hAnsi="楷体" w:eastAsia="楷体" w:cs="宋体"/>
          <w:kern w:val="0"/>
          <w:sz w:val="32"/>
          <w:szCs w:val="32"/>
        </w:rPr>
      </w:pPr>
      <w:r>
        <w:rPr>
          <w:rFonts w:hint="eastAsia" w:ascii="仿宋_GB2312" w:hAnsi="仿宋" w:eastAsia="仿宋_GB2312" w:cs="宋体"/>
          <w:kern w:val="0"/>
          <w:sz w:val="32"/>
          <w:szCs w:val="32"/>
        </w:rPr>
        <w:t>产品品牌是指</w:t>
      </w:r>
      <w:r>
        <w:rPr>
          <w:rFonts w:ascii="仿宋_GB2312" w:hAnsi="仿宋" w:eastAsia="仿宋_GB2312" w:cs="宋体"/>
          <w:kern w:val="0"/>
          <w:sz w:val="32"/>
          <w:szCs w:val="32"/>
        </w:rPr>
        <w:t>某一类</w:t>
      </w:r>
      <w:r>
        <w:rPr>
          <w:rFonts w:hint="eastAsia" w:ascii="仿宋_GB2312" w:hAnsi="仿宋" w:eastAsia="仿宋_GB2312" w:cs="宋体"/>
          <w:kern w:val="0"/>
          <w:sz w:val="32"/>
          <w:szCs w:val="32"/>
        </w:rPr>
        <w:t>产品</w:t>
      </w:r>
      <w:r>
        <w:rPr>
          <w:rFonts w:hint="eastAsia" w:ascii="仿宋_GB2312" w:hAnsi="仿宋" w:eastAsia="仿宋_GB2312" w:cs="宋体"/>
          <w:kern w:val="0"/>
          <w:sz w:val="32"/>
          <w:szCs w:val="32"/>
          <w:lang w:eastAsia="zh-CN"/>
        </w:rPr>
        <w:t>在品种品质、生产标准</w:t>
      </w:r>
      <w:r>
        <w:rPr>
          <w:rFonts w:hint="eastAsia" w:ascii="仿宋_GB2312" w:hAnsi="仿宋" w:eastAsia="仿宋_GB2312" w:cs="宋体"/>
          <w:kern w:val="0"/>
          <w:sz w:val="32"/>
          <w:szCs w:val="32"/>
        </w:rPr>
        <w:t>或</w:t>
      </w:r>
      <w:r>
        <w:rPr>
          <w:rFonts w:ascii="仿宋_GB2312" w:hAnsi="仿宋" w:eastAsia="仿宋_GB2312" w:cs="宋体"/>
          <w:kern w:val="0"/>
          <w:sz w:val="32"/>
          <w:szCs w:val="32"/>
        </w:rPr>
        <w:t>文化属性</w:t>
      </w:r>
      <w:r>
        <w:rPr>
          <w:rFonts w:hint="eastAsia" w:ascii="仿宋_GB2312" w:hAnsi="仿宋" w:eastAsia="仿宋_GB2312" w:cs="宋体"/>
          <w:kern w:val="0"/>
          <w:sz w:val="32"/>
          <w:szCs w:val="32"/>
          <w:lang w:eastAsia="zh-CN"/>
        </w:rPr>
        <w:t>等方面具有特定价值</w:t>
      </w:r>
      <w:r>
        <w:rPr>
          <w:rFonts w:hint="eastAsia" w:ascii="仿宋_GB2312" w:hAnsi="仿宋" w:eastAsia="仿宋_GB2312" w:cs="宋体"/>
          <w:kern w:val="0"/>
          <w:sz w:val="32"/>
          <w:szCs w:val="32"/>
        </w:rPr>
        <w:t>，体现产品的独特性和差异化，在</w:t>
      </w:r>
      <w:r>
        <w:rPr>
          <w:rFonts w:hint="eastAsia" w:ascii="仿宋_GB2312" w:hAnsi="仿宋" w:eastAsia="仿宋_GB2312" w:cs="宋体"/>
          <w:kern w:val="0"/>
          <w:sz w:val="32"/>
          <w:szCs w:val="32"/>
          <w:lang w:eastAsia="zh-CN"/>
        </w:rPr>
        <w:t>品牌竞争力</w:t>
      </w:r>
      <w:r>
        <w:rPr>
          <w:rFonts w:ascii="仿宋_GB2312" w:hAnsi="仿宋" w:eastAsia="仿宋_GB2312" w:cs="宋体"/>
          <w:kern w:val="0"/>
          <w:sz w:val="32"/>
          <w:szCs w:val="32"/>
        </w:rPr>
        <w:t>、</w:t>
      </w:r>
      <w:r>
        <w:rPr>
          <w:rFonts w:hint="eastAsia" w:ascii="仿宋_GB2312" w:hAnsi="仿宋" w:eastAsia="仿宋_GB2312" w:cs="宋体"/>
          <w:kern w:val="0"/>
          <w:sz w:val="32"/>
          <w:szCs w:val="32"/>
          <w:lang w:eastAsia="zh-CN"/>
        </w:rPr>
        <w:t>支撑力、影响力、带动力</w:t>
      </w:r>
      <w:r>
        <w:rPr>
          <w:rFonts w:ascii="仿宋_GB2312" w:hAnsi="仿宋" w:eastAsia="仿宋_GB2312" w:cs="宋体"/>
          <w:kern w:val="0"/>
          <w:sz w:val="32"/>
          <w:szCs w:val="32"/>
        </w:rPr>
        <w:t>等方面比同类产品</w:t>
      </w:r>
      <w:r>
        <w:rPr>
          <w:rFonts w:hint="eastAsia" w:ascii="仿宋_GB2312" w:hAnsi="仿宋" w:eastAsia="仿宋_GB2312" w:cs="宋体"/>
          <w:kern w:val="0"/>
          <w:sz w:val="32"/>
          <w:szCs w:val="32"/>
        </w:rPr>
        <w:t>更具优势的</w:t>
      </w:r>
      <w:r>
        <w:rPr>
          <w:rFonts w:ascii="仿宋_GB2312" w:hAnsi="仿宋" w:eastAsia="仿宋_GB2312" w:cs="宋体"/>
          <w:kern w:val="0"/>
          <w:sz w:val="32"/>
          <w:szCs w:val="32"/>
        </w:rPr>
        <w:t>品牌。</w:t>
      </w:r>
    </w:p>
    <w:p>
      <w:pPr>
        <w:pStyle w:val="12"/>
        <w:shd w:val="clear" w:color="auto" w:fill="FFFFFF"/>
        <w:spacing w:before="0" w:beforeAutospacing="0" w:after="0" w:afterAutospacing="0" w:line="600" w:lineRule="exact"/>
        <w:ind w:firstLine="642" w:firstLineChars="200"/>
        <w:jc w:val="both"/>
        <w:rPr>
          <w:rFonts w:ascii="仿宋_GB2312" w:hAnsi="仿宋" w:eastAsia="仿宋_GB2312"/>
          <w:sz w:val="32"/>
          <w:szCs w:val="32"/>
        </w:rPr>
      </w:pPr>
      <w:r>
        <w:rPr>
          <w:rFonts w:hint="eastAsia" w:ascii="仿宋_GB2312" w:hAnsi="仿宋" w:eastAsia="仿宋_GB2312"/>
          <w:b/>
          <w:sz w:val="32"/>
          <w:szCs w:val="32"/>
        </w:rPr>
        <w:t xml:space="preserve">第七条 </w:t>
      </w:r>
      <w:r>
        <w:rPr>
          <w:rFonts w:hint="eastAsia" w:ascii="仿宋_GB2312" w:hAnsi="仿宋" w:eastAsia="仿宋_GB2312"/>
          <w:sz w:val="32"/>
          <w:szCs w:val="32"/>
        </w:rPr>
        <w:t>申报主体须符合“北京优农”品牌的</w:t>
      </w:r>
      <w:r>
        <w:rPr>
          <w:rFonts w:hint="eastAsia" w:ascii="仿宋_GB2312" w:hAnsi="仿宋" w:eastAsia="仿宋_GB2312"/>
          <w:sz w:val="32"/>
          <w:szCs w:val="32"/>
          <w:lang w:eastAsia="zh-CN"/>
        </w:rPr>
        <w:t>相应</w:t>
      </w:r>
      <w:r>
        <w:rPr>
          <w:rFonts w:hint="eastAsia" w:ascii="仿宋_GB2312" w:hAnsi="仿宋" w:eastAsia="仿宋_GB2312"/>
          <w:sz w:val="32"/>
          <w:szCs w:val="32"/>
        </w:rPr>
        <w:t>标准，具备优先条件标准的优先认定。</w:t>
      </w:r>
    </w:p>
    <w:p>
      <w:pPr>
        <w:pStyle w:val="12"/>
        <w:shd w:val="clear" w:color="auto" w:fill="FFFFFF"/>
        <w:spacing w:before="0" w:beforeAutospacing="0" w:after="0" w:afterAutospacing="0" w:line="600" w:lineRule="exact"/>
        <w:ind w:firstLine="640" w:firstLineChars="200"/>
        <w:jc w:val="both"/>
        <w:rPr>
          <w:rFonts w:hint="eastAsia" w:ascii="楷体" w:hAnsi="楷体" w:eastAsia="楷体"/>
          <w:sz w:val="32"/>
          <w:szCs w:val="32"/>
          <w:lang w:eastAsia="zh-CN"/>
        </w:rPr>
      </w:pPr>
      <w:r>
        <w:rPr>
          <w:rFonts w:hint="eastAsia" w:ascii="楷体" w:hAnsi="楷体" w:eastAsia="楷体"/>
          <w:sz w:val="32"/>
          <w:szCs w:val="32"/>
        </w:rPr>
        <w:t>（一）</w:t>
      </w:r>
      <w:r>
        <w:rPr>
          <w:rFonts w:hint="eastAsia" w:ascii="楷体" w:hAnsi="楷体" w:eastAsia="楷体"/>
          <w:sz w:val="32"/>
          <w:szCs w:val="32"/>
          <w:lang w:eastAsia="zh-CN"/>
        </w:rPr>
        <w:t>基本条件</w:t>
      </w:r>
    </w:p>
    <w:p>
      <w:pPr>
        <w:pStyle w:val="12"/>
        <w:shd w:val="clear" w:color="auto" w:fill="FFFFFF"/>
        <w:spacing w:before="0" w:beforeAutospacing="0" w:after="0" w:afterAutospacing="0" w:line="600" w:lineRule="exact"/>
        <w:ind w:firstLine="640" w:firstLineChars="200"/>
        <w:jc w:val="both"/>
        <w:rPr>
          <w:rFonts w:hint="eastAsia" w:ascii="仿宋_GB2312" w:hAnsi="仿宋" w:eastAsia="仿宋_GB2312"/>
          <w:sz w:val="32"/>
          <w:szCs w:val="32"/>
          <w:lang w:eastAsia="zh-CN"/>
        </w:rPr>
      </w:pPr>
      <w:r>
        <w:rPr>
          <w:rFonts w:hint="default" w:ascii="仿宋_GB2312" w:hAnsi="仿宋" w:eastAsia="仿宋_GB2312"/>
          <w:sz w:val="32"/>
          <w:szCs w:val="32"/>
          <w:lang w:val="en"/>
        </w:rPr>
        <w:t>1.</w:t>
      </w:r>
      <w:r>
        <w:rPr>
          <w:rFonts w:hint="eastAsia" w:ascii="仿宋_GB2312" w:hAnsi="仿宋" w:eastAsia="仿宋_GB2312"/>
          <w:sz w:val="32"/>
          <w:szCs w:val="32"/>
          <w:lang w:val="en" w:eastAsia="zh-CN"/>
        </w:rPr>
        <w:t>主体条件：</w:t>
      </w:r>
      <w:r>
        <w:rPr>
          <w:rFonts w:hint="eastAsia" w:ascii="仿宋_GB2312" w:hAnsi="仿宋" w:eastAsia="仿宋_GB2312"/>
          <w:sz w:val="32"/>
          <w:szCs w:val="32"/>
        </w:rPr>
        <w:t>申报主体须在北京市内依法注册登记，具有独立法人资格，区域公用品牌申报主体应为社团组织、事业单位等</w:t>
      </w:r>
      <w:r>
        <w:rPr>
          <w:rFonts w:hint="eastAsia" w:ascii="仿宋_GB2312" w:hAnsi="仿宋" w:eastAsia="仿宋_GB2312"/>
          <w:sz w:val="32"/>
          <w:szCs w:val="32"/>
          <w:lang w:eastAsia="zh-CN"/>
        </w:rPr>
        <w:t>。</w:t>
      </w:r>
    </w:p>
    <w:p>
      <w:pPr>
        <w:pStyle w:val="12"/>
        <w:shd w:val="clear" w:color="auto" w:fill="FFFFFF"/>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lang w:val="en-US" w:eastAsia="zh-CN"/>
        </w:rPr>
        <w:t>2.品牌条件：</w:t>
      </w:r>
      <w:r>
        <w:rPr>
          <w:rFonts w:hint="eastAsia" w:ascii="仿宋_GB2312" w:hAnsi="仿宋" w:eastAsia="仿宋_GB2312"/>
          <w:sz w:val="32"/>
          <w:szCs w:val="32"/>
        </w:rPr>
        <w:t>品牌没有权属纠纷，商标</w:t>
      </w:r>
      <w:r>
        <w:rPr>
          <w:rFonts w:hint="eastAsia" w:ascii="仿宋_GB2312" w:hAnsi="仿宋" w:eastAsia="仿宋_GB2312"/>
          <w:sz w:val="32"/>
          <w:szCs w:val="32"/>
          <w:lang w:eastAsia="zh-CN"/>
        </w:rPr>
        <w:t>合法有效，</w:t>
      </w:r>
      <w:r>
        <w:rPr>
          <w:rFonts w:hint="eastAsia" w:ascii="仿宋_GB2312" w:hAnsi="仿宋" w:eastAsia="仿宋_GB2312"/>
          <w:sz w:val="32"/>
          <w:szCs w:val="32"/>
        </w:rPr>
        <w:t>注册3年以上。区域公用品牌，</w:t>
      </w:r>
      <w:r>
        <w:rPr>
          <w:rFonts w:hint="eastAsia" w:ascii="仿宋_GB2312" w:hAnsi="仿宋" w:eastAsia="仿宋_GB2312"/>
          <w:sz w:val="32"/>
          <w:szCs w:val="32"/>
          <w:lang w:eastAsia="zh-CN"/>
        </w:rPr>
        <w:t>品牌名称</w:t>
      </w:r>
      <w:r>
        <w:rPr>
          <w:rFonts w:hint="eastAsia" w:ascii="仿宋_GB2312" w:hAnsi="仿宋" w:eastAsia="仿宋_GB2312"/>
          <w:sz w:val="32"/>
          <w:szCs w:val="32"/>
        </w:rPr>
        <w:t>原则上是以“产地名+产品名”构成，具有显著地域特征，由若干农业生产经营者共同使用的农产品品牌，须制定并严格实施品牌授权管理办法；注重生态环境保护，传承区域人文历史和农耕文化。</w:t>
      </w:r>
    </w:p>
    <w:p>
      <w:pPr>
        <w:pStyle w:val="12"/>
        <w:shd w:val="clear" w:color="auto" w:fill="FFFFFF"/>
        <w:spacing w:before="0" w:beforeAutospacing="0" w:after="0" w:afterAutospacing="0" w:line="60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lang w:val="en-US" w:eastAsia="zh-CN"/>
        </w:rPr>
        <w:t>3.产品条件。</w:t>
      </w:r>
      <w:r>
        <w:rPr>
          <w:rFonts w:hint="eastAsia" w:ascii="仿宋_GB2312" w:hAnsi="仿宋" w:eastAsia="仿宋_GB2312"/>
          <w:sz w:val="32"/>
          <w:szCs w:val="32"/>
          <w:lang w:eastAsia="zh-CN"/>
        </w:rPr>
        <w:t>产品</w:t>
      </w:r>
      <w:r>
        <w:rPr>
          <w:rFonts w:hint="eastAsia" w:ascii="仿宋_GB2312" w:hAnsi="仿宋" w:eastAsia="仿宋_GB2312"/>
          <w:sz w:val="32"/>
          <w:szCs w:val="32"/>
        </w:rPr>
        <w:t>生产</w:t>
      </w:r>
      <w:r>
        <w:rPr>
          <w:rFonts w:hint="eastAsia" w:ascii="仿宋_GB2312" w:hAnsi="仿宋" w:eastAsia="仿宋_GB2312"/>
          <w:sz w:val="32"/>
          <w:szCs w:val="32"/>
          <w:lang w:eastAsia="zh-CN"/>
        </w:rPr>
        <w:t>符合</w:t>
      </w:r>
      <w:r>
        <w:rPr>
          <w:rFonts w:hint="eastAsia" w:ascii="仿宋_GB2312" w:hAnsi="仿宋" w:eastAsia="仿宋_GB2312"/>
          <w:sz w:val="32"/>
          <w:szCs w:val="32"/>
        </w:rPr>
        <w:t>国际、国家、行业或地方等技术标准</w:t>
      </w:r>
      <w:r>
        <w:rPr>
          <w:rFonts w:hint="eastAsia" w:ascii="仿宋_GB2312" w:hAnsi="仿宋" w:eastAsia="仿宋_GB2312"/>
          <w:sz w:val="32"/>
          <w:szCs w:val="32"/>
          <w:lang w:eastAsia="zh-CN"/>
        </w:rPr>
        <w:t>，</w:t>
      </w:r>
      <w:r>
        <w:rPr>
          <w:rFonts w:hint="eastAsia" w:ascii="仿宋_GB2312" w:hAnsi="仿宋" w:eastAsia="仿宋_GB2312"/>
          <w:sz w:val="32"/>
          <w:szCs w:val="32"/>
        </w:rPr>
        <w:t>初级</w:t>
      </w:r>
      <w:r>
        <w:rPr>
          <w:rFonts w:hint="eastAsia" w:ascii="仿宋_GB2312" w:hAnsi="仿宋" w:eastAsia="仿宋_GB2312"/>
          <w:sz w:val="32"/>
          <w:szCs w:val="32"/>
          <w:lang w:eastAsia="zh-CN"/>
        </w:rPr>
        <w:t>农</w:t>
      </w:r>
      <w:r>
        <w:rPr>
          <w:rFonts w:hint="eastAsia" w:ascii="仿宋_GB2312" w:hAnsi="仿宋" w:eastAsia="仿宋_GB2312"/>
          <w:sz w:val="32"/>
          <w:szCs w:val="32"/>
        </w:rPr>
        <w:t>产品须取得绿色认证、有机认证、GAP认证</w:t>
      </w:r>
      <w:r>
        <w:rPr>
          <w:rFonts w:hint="eastAsia" w:ascii="仿宋_GB2312" w:hAnsi="仿宋" w:eastAsia="仿宋_GB2312"/>
          <w:sz w:val="32"/>
          <w:szCs w:val="32"/>
          <w:lang w:eastAsia="zh-CN"/>
        </w:rPr>
        <w:t>、</w:t>
      </w:r>
      <w:r>
        <w:rPr>
          <w:rFonts w:hint="eastAsia" w:ascii="仿宋_GB2312" w:hAnsi="仿宋" w:eastAsia="仿宋_GB2312"/>
          <w:sz w:val="32"/>
          <w:szCs w:val="32"/>
        </w:rPr>
        <w:t>地理标志</w:t>
      </w:r>
      <w:r>
        <w:rPr>
          <w:rFonts w:hint="eastAsia" w:ascii="仿宋_GB2312" w:hAnsi="仿宋" w:eastAsia="仿宋_GB2312"/>
          <w:sz w:val="32"/>
          <w:szCs w:val="32"/>
          <w:lang w:eastAsia="zh-CN"/>
        </w:rPr>
        <w:t>相关认定</w:t>
      </w:r>
      <w:r>
        <w:rPr>
          <w:rFonts w:hint="eastAsia" w:ascii="仿宋_GB2312" w:hAnsi="仿宋" w:eastAsia="仿宋_GB2312"/>
          <w:sz w:val="32"/>
          <w:szCs w:val="32"/>
          <w:lang w:val="en-US" w:eastAsia="zh-CN"/>
        </w:rPr>
        <w:t>/</w:t>
      </w:r>
      <w:r>
        <w:rPr>
          <w:rFonts w:hint="eastAsia" w:ascii="仿宋_GB2312" w:hAnsi="仿宋" w:eastAsia="仿宋_GB2312"/>
          <w:sz w:val="32"/>
          <w:szCs w:val="32"/>
        </w:rPr>
        <w:t>登记</w:t>
      </w:r>
      <w:r>
        <w:rPr>
          <w:rFonts w:hint="eastAsia" w:ascii="仿宋_GB2312" w:hAnsi="仿宋" w:eastAsia="仿宋_GB2312"/>
          <w:sz w:val="32"/>
          <w:szCs w:val="32"/>
          <w:lang w:eastAsia="zh-CN"/>
        </w:rPr>
        <w:t>或全国名特优新农产品登录</w:t>
      </w:r>
      <w:r>
        <w:rPr>
          <w:rFonts w:hint="eastAsia" w:ascii="仿宋_GB2312" w:hAnsi="仿宋" w:eastAsia="仿宋_GB2312"/>
          <w:sz w:val="32"/>
          <w:szCs w:val="32"/>
        </w:rPr>
        <w:t>之一，精深加工类产品要通过SC认证</w:t>
      </w:r>
      <w:r>
        <w:rPr>
          <w:rFonts w:hint="eastAsia" w:ascii="仿宋_GB2312" w:hAnsi="仿宋" w:eastAsia="仿宋_GB2312"/>
          <w:sz w:val="32"/>
          <w:szCs w:val="32"/>
          <w:lang w:eastAsia="zh-CN"/>
        </w:rPr>
        <w:t>。产品有准确的感官特征和品质特征描述，体现独特性；</w:t>
      </w:r>
      <w:r>
        <w:rPr>
          <w:rFonts w:hint="eastAsia" w:ascii="仿宋_GB2312" w:hAnsi="仿宋" w:eastAsia="仿宋_GB2312"/>
          <w:sz w:val="32"/>
          <w:szCs w:val="32"/>
        </w:rPr>
        <w:t>产品接受各级主管部门检查或监测机构质量抽查等无不合格或其他不良记录</w:t>
      </w:r>
      <w:r>
        <w:rPr>
          <w:rFonts w:hint="eastAsia" w:ascii="仿宋_GB2312" w:hAnsi="仿宋" w:eastAsia="仿宋_GB2312"/>
          <w:sz w:val="32"/>
          <w:szCs w:val="32"/>
          <w:lang w:eastAsia="zh-CN"/>
        </w:rPr>
        <w:t>，</w:t>
      </w:r>
      <w:r>
        <w:rPr>
          <w:rFonts w:hint="eastAsia" w:ascii="仿宋_GB2312" w:hAnsi="仿宋" w:eastAsia="仿宋_GB2312"/>
          <w:sz w:val="32"/>
          <w:szCs w:val="32"/>
        </w:rPr>
        <w:t>近三年来未出现过违法违规生产、经营或重大农产品质量安全问题。产品属于老北京特色品种、非遗工艺等“小而特”情形的，</w:t>
      </w:r>
      <w:r>
        <w:rPr>
          <w:rFonts w:hint="eastAsia" w:ascii="仿宋_GB2312" w:hAnsi="仿宋" w:eastAsia="仿宋_GB2312"/>
          <w:sz w:val="32"/>
          <w:szCs w:val="32"/>
          <w:lang w:eastAsia="zh-CN"/>
        </w:rPr>
        <w:t>要</w:t>
      </w:r>
      <w:r>
        <w:rPr>
          <w:rFonts w:hint="eastAsia" w:ascii="仿宋_GB2312" w:hAnsi="仿宋" w:eastAsia="仿宋_GB2312"/>
          <w:sz w:val="32"/>
          <w:szCs w:val="32"/>
        </w:rPr>
        <w:t>具备一定的生产规模和商品量。</w:t>
      </w:r>
    </w:p>
    <w:p>
      <w:pPr>
        <w:pStyle w:val="12"/>
        <w:shd w:val="clear" w:color="auto" w:fill="FFFFFF"/>
        <w:spacing w:before="0" w:beforeAutospacing="0" w:after="0" w:afterAutospacing="0" w:line="600" w:lineRule="exact"/>
        <w:ind w:firstLine="640" w:firstLineChars="200"/>
        <w:jc w:val="both"/>
        <w:rPr>
          <w:rFonts w:hint="eastAsia" w:ascii="仿宋_GB2312" w:hAnsi="仿宋" w:eastAsia="楷体"/>
          <w:sz w:val="32"/>
          <w:szCs w:val="32"/>
          <w:lang w:eastAsia="zh-CN"/>
        </w:rPr>
      </w:pPr>
      <w:r>
        <w:rPr>
          <w:rFonts w:hint="eastAsia" w:ascii="楷体" w:hAnsi="楷体" w:eastAsia="楷体"/>
          <w:sz w:val="32"/>
          <w:szCs w:val="32"/>
        </w:rPr>
        <w:t>（二）</w:t>
      </w:r>
      <w:r>
        <w:rPr>
          <w:rFonts w:hint="eastAsia" w:ascii="楷体" w:hAnsi="楷体" w:eastAsia="楷体"/>
          <w:sz w:val="32"/>
          <w:szCs w:val="32"/>
          <w:lang w:eastAsia="zh-CN"/>
        </w:rPr>
        <w:t>品牌竞争力明显</w:t>
      </w:r>
    </w:p>
    <w:p>
      <w:pPr>
        <w:pStyle w:val="12"/>
        <w:shd w:val="clear" w:color="auto" w:fill="FFFFFF"/>
        <w:spacing w:before="0" w:beforeAutospacing="0" w:after="0" w:afterAutospacing="0" w:line="60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品牌定位清晰，目标市场明确，具有明显的区域资源优势、历史人文特征或产业特色，具有一定产业规模，实施标准化生产，加强质量管理，注重科技创新，强化品质保障。传承弘扬中华优秀农耕文化，具有独特的品牌核心价值和品牌故事，积极开展品牌文化交流和推广。</w:t>
      </w:r>
    </w:p>
    <w:p>
      <w:pPr>
        <w:pStyle w:val="12"/>
        <w:numPr>
          <w:ilvl w:val="0"/>
          <w:numId w:val="1"/>
        </w:numPr>
        <w:shd w:val="clear" w:color="auto" w:fill="FFFFFF"/>
        <w:spacing w:before="0" w:beforeAutospacing="0" w:after="0" w:afterAutospacing="0" w:line="600" w:lineRule="exact"/>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品牌支撑力较强</w:t>
      </w:r>
    </w:p>
    <w:p>
      <w:pPr>
        <w:pStyle w:val="12"/>
        <w:widowControl/>
        <w:numPr>
          <w:ilvl w:val="0"/>
          <w:numId w:val="0"/>
        </w:numPr>
        <w:shd w:val="clear" w:color="auto" w:fill="FFFFFF"/>
        <w:spacing w:before="0" w:beforeAutospacing="0" w:after="0" w:afterAutospacing="0" w:line="600" w:lineRule="exact"/>
        <w:jc w:val="both"/>
        <w:rPr>
          <w:rFonts w:hint="default" w:ascii="仿宋_GB2312" w:hAnsi="仿宋" w:eastAsia="仿宋_GB2312" w:cs="宋体"/>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color w:val="FF0000"/>
          <w:sz w:val="32"/>
          <w:szCs w:val="32"/>
          <w:lang w:val="en-US" w:eastAsia="zh-CN"/>
        </w:rPr>
        <w:t xml:space="preserve"> </w:t>
      </w:r>
      <w:r>
        <w:rPr>
          <w:rFonts w:hint="eastAsia" w:ascii="仿宋_GB2312" w:hAnsi="仿宋" w:eastAsia="仿宋_GB2312" w:cs="宋体"/>
          <w:sz w:val="32"/>
          <w:szCs w:val="32"/>
          <w:lang w:val="en-US" w:eastAsia="zh-CN"/>
        </w:rPr>
        <w:t>政策扶持体系健全，建立有效的激励机制，为品牌高质量发展提供政策保障。品牌管理规范，具有品牌管理机构（部门）和运营团队，制定严格的授权管理制度。加强品牌保护，实施积极的保护策略，注重品牌监测、评价和服务。</w:t>
      </w:r>
    </w:p>
    <w:p>
      <w:pPr>
        <w:pStyle w:val="12"/>
        <w:widowControl/>
        <w:numPr>
          <w:ilvl w:val="0"/>
          <w:numId w:val="1"/>
        </w:numPr>
        <w:shd w:val="clear" w:color="auto" w:fill="FFFFFF"/>
        <w:spacing w:before="0" w:beforeAutospacing="0" w:after="0" w:afterAutospacing="0" w:line="600" w:lineRule="exact"/>
        <w:ind w:left="0" w:leftChars="0"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品牌影响力较大</w:t>
      </w:r>
    </w:p>
    <w:p>
      <w:pPr>
        <w:pStyle w:val="12"/>
        <w:widowControl/>
        <w:numPr>
          <w:ilvl w:val="0"/>
          <w:numId w:val="0"/>
        </w:numPr>
        <w:shd w:val="clear" w:color="auto" w:fill="FFFFFF"/>
        <w:spacing w:before="0" w:beforeAutospacing="0" w:after="0" w:afterAutospacing="0" w:line="60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eastAsia="zh-CN"/>
        </w:rPr>
        <w:t>品牌具有较好的知名度、认知度、美誉度和忠诚度。具有品牌宣传识别体系，具有较强的品牌传播能力和渠道运行能力。市场优势明显，品牌接触点便捷多样，在同类产品中拥有较高的市场占有率。品牌及其主体获得省部级及以上政府部门、国际权威机构颁发的相关荣誉或称号，获得国内外消费者积极认可。</w:t>
      </w:r>
    </w:p>
    <w:p>
      <w:pPr>
        <w:pStyle w:val="12"/>
        <w:widowControl/>
        <w:numPr>
          <w:ilvl w:val="0"/>
          <w:numId w:val="1"/>
        </w:numPr>
        <w:shd w:val="clear" w:color="auto" w:fill="FFFFFF"/>
        <w:spacing w:before="0" w:beforeAutospacing="0" w:after="0" w:afterAutospacing="0" w:line="600" w:lineRule="exact"/>
        <w:ind w:left="0" w:leftChars="0"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品牌带动力突出</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leftChars="0"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品牌具有一定生产规模并实现良性发展，对产业发展具有较强带动力，与村集体、合作社或农户建立了完善的利益联结机制，有力促进产业提质增效和农民增收。品牌主体注重履行社会责任，带动本地及外地劳动力就业，对区域经济发展具有较强支撑力。</w:t>
      </w:r>
    </w:p>
    <w:p>
      <w:pPr>
        <w:pStyle w:val="12"/>
        <w:shd w:val="clear" w:color="auto" w:fill="FFFFFF"/>
        <w:spacing w:before="312" w:beforeLines="100" w:beforeAutospacing="0" w:after="312" w:afterLines="100" w:afterAutospacing="0" w:line="600" w:lineRule="exact"/>
        <w:jc w:val="center"/>
        <w:rPr>
          <w:rFonts w:ascii="黑体" w:hAnsi="黑体" w:eastAsia="黑体"/>
          <w:sz w:val="32"/>
          <w:szCs w:val="32"/>
        </w:rPr>
      </w:pPr>
      <w:r>
        <w:rPr>
          <w:rFonts w:hint="eastAsia" w:ascii="黑体" w:hAnsi="黑体" w:eastAsia="黑体"/>
          <w:sz w:val="32"/>
          <w:szCs w:val="32"/>
        </w:rPr>
        <w:t>第四章 认定程序</w:t>
      </w:r>
    </w:p>
    <w:p>
      <w:pPr>
        <w:pStyle w:val="12"/>
        <w:widowControl w:val="0"/>
        <w:shd w:val="clear" w:color="auto" w:fill="FFFFFF"/>
        <w:spacing w:before="0" w:beforeAutospacing="0" w:after="0" w:afterAutospacing="0" w:line="600" w:lineRule="exact"/>
        <w:ind w:firstLine="556"/>
        <w:jc w:val="both"/>
        <w:rPr>
          <w:rFonts w:ascii="仿宋_GB2312" w:hAnsi="仿宋" w:eastAsia="仿宋_GB2312"/>
          <w:sz w:val="32"/>
          <w:szCs w:val="32"/>
        </w:rPr>
      </w:pPr>
      <w:r>
        <w:rPr>
          <w:rFonts w:hint="eastAsia" w:ascii="仿宋_GB2312" w:hAnsi="仿宋" w:eastAsia="仿宋_GB2312"/>
          <w:b/>
          <w:sz w:val="32"/>
          <w:szCs w:val="32"/>
        </w:rPr>
        <w:t xml:space="preserve">第八条 </w:t>
      </w:r>
      <w:r>
        <w:rPr>
          <w:rFonts w:hint="eastAsia" w:ascii="仿宋_GB2312" w:hAnsi="仿宋" w:eastAsia="仿宋_GB2312"/>
          <w:sz w:val="32"/>
          <w:szCs w:val="32"/>
        </w:rPr>
        <w:t>“北京优农”品牌认定程序：</w:t>
      </w:r>
    </w:p>
    <w:p>
      <w:pPr>
        <w:pStyle w:val="12"/>
        <w:widowControl w:val="0"/>
        <w:shd w:val="clear" w:color="auto" w:fill="FFFFFF"/>
        <w:spacing w:before="0" w:beforeAutospacing="0" w:after="0" w:afterAutospacing="0" w:line="600" w:lineRule="exact"/>
        <w:ind w:firstLine="556"/>
        <w:jc w:val="both"/>
        <w:rPr>
          <w:rFonts w:ascii="仿宋_GB2312" w:hAnsi="仿宋" w:eastAsia="仿宋_GB2312"/>
          <w:sz w:val="32"/>
          <w:szCs w:val="32"/>
        </w:rPr>
      </w:pPr>
      <w:r>
        <w:rPr>
          <w:rFonts w:hint="eastAsia" w:ascii="仿宋_GB2312" w:hAnsi="仿宋" w:eastAsia="仿宋_GB2312"/>
          <w:sz w:val="32"/>
          <w:szCs w:val="32"/>
        </w:rPr>
        <w:t>（一）主体申报。品牌主体对照标准自愿申报，并在规定日期内自愿向所属区农业农村主管部门或相关协会等行业组织提交</w:t>
      </w:r>
      <w:r>
        <w:rPr>
          <w:rFonts w:hint="eastAsia" w:ascii="仿宋_GB2312" w:hAnsi="仿宋" w:eastAsia="仿宋_GB2312"/>
          <w:sz w:val="32"/>
          <w:szCs w:val="32"/>
          <w:lang w:eastAsia="zh-CN"/>
        </w:rPr>
        <w:t>申报材料</w:t>
      </w:r>
      <w:r>
        <w:rPr>
          <w:rFonts w:hint="eastAsia" w:ascii="仿宋_GB2312" w:hAnsi="仿宋" w:eastAsia="仿宋_GB2312"/>
          <w:sz w:val="32"/>
          <w:szCs w:val="32"/>
        </w:rPr>
        <w:t>，</w:t>
      </w:r>
      <w:r>
        <w:rPr>
          <w:rFonts w:hint="eastAsia" w:ascii="仿宋_GB2312" w:hAnsi="仿宋" w:eastAsia="仿宋_GB2312"/>
          <w:sz w:val="32"/>
          <w:szCs w:val="32"/>
          <w:lang w:eastAsia="zh-CN"/>
        </w:rPr>
        <w:t>经</w:t>
      </w:r>
      <w:r>
        <w:rPr>
          <w:rFonts w:hint="eastAsia" w:ascii="仿宋_GB2312" w:hAnsi="仿宋" w:eastAsia="仿宋_GB2312"/>
          <w:sz w:val="32"/>
          <w:szCs w:val="32"/>
        </w:rPr>
        <w:t>审核通过后，</w:t>
      </w:r>
      <w:r>
        <w:rPr>
          <w:rFonts w:hint="eastAsia" w:ascii="仿宋_GB2312" w:hAnsi="仿宋" w:eastAsia="仿宋_GB2312"/>
          <w:sz w:val="32"/>
          <w:szCs w:val="32"/>
          <w:lang w:eastAsia="zh-CN"/>
        </w:rPr>
        <w:t>逐级盖（签）章</w:t>
      </w:r>
      <w:r>
        <w:rPr>
          <w:rFonts w:hint="eastAsia" w:ascii="仿宋_GB2312" w:hAnsi="仿宋" w:eastAsia="仿宋_GB2312"/>
          <w:sz w:val="32"/>
          <w:szCs w:val="32"/>
        </w:rPr>
        <w:t>，由推荐单位统一提交至数字中心。</w:t>
      </w:r>
    </w:p>
    <w:p>
      <w:pPr>
        <w:pStyle w:val="12"/>
        <w:widowControl w:val="0"/>
        <w:shd w:val="clear" w:color="auto" w:fill="FFFFFF"/>
        <w:spacing w:before="0" w:beforeAutospacing="0" w:after="0" w:afterAutospacing="0" w:line="600" w:lineRule="exact"/>
        <w:ind w:firstLine="556"/>
        <w:jc w:val="both"/>
        <w:rPr>
          <w:rFonts w:ascii="仿宋_GB2312" w:hAnsi="仿宋" w:eastAsia="仿宋_GB2312"/>
          <w:sz w:val="32"/>
          <w:szCs w:val="32"/>
        </w:rPr>
      </w:pPr>
      <w:r>
        <w:rPr>
          <w:rFonts w:hint="eastAsia" w:ascii="仿宋_GB2312" w:hAnsi="仿宋" w:eastAsia="仿宋_GB2312"/>
          <w:sz w:val="32"/>
          <w:szCs w:val="32"/>
        </w:rPr>
        <w:t>（二）材料初审。数字中心会同有关单位或行业组织等对申报材料进行初审并提出初选品牌名单。</w:t>
      </w:r>
    </w:p>
    <w:p>
      <w:pPr>
        <w:pStyle w:val="12"/>
        <w:widowControl w:val="0"/>
        <w:shd w:val="clear" w:color="auto" w:fill="FFFFFF"/>
        <w:spacing w:before="0" w:beforeAutospacing="0" w:after="0" w:afterAutospacing="0" w:line="600" w:lineRule="exact"/>
        <w:ind w:firstLine="556"/>
        <w:jc w:val="both"/>
        <w:rPr>
          <w:rFonts w:ascii="仿宋_GB2312" w:hAnsi="仿宋" w:eastAsia="仿宋_GB2312"/>
          <w:sz w:val="32"/>
          <w:szCs w:val="32"/>
        </w:rPr>
      </w:pPr>
      <w:r>
        <w:rPr>
          <w:rFonts w:hint="eastAsia" w:ascii="仿宋_GB2312" w:hAnsi="仿宋" w:eastAsia="仿宋_GB2312"/>
          <w:sz w:val="32"/>
          <w:szCs w:val="32"/>
        </w:rPr>
        <w:t>（三）专家审议。数字中心组织评审专家依据品牌认定标准和</w:t>
      </w:r>
      <w:r>
        <w:rPr>
          <w:rFonts w:ascii="仿宋_GB2312" w:hAnsi="仿宋" w:eastAsia="仿宋_GB2312"/>
          <w:sz w:val="32"/>
          <w:szCs w:val="32"/>
        </w:rPr>
        <w:t>相关意见</w:t>
      </w:r>
      <w:r>
        <w:rPr>
          <w:rFonts w:hint="eastAsia" w:ascii="仿宋_GB2312" w:hAnsi="仿宋" w:eastAsia="仿宋_GB2312"/>
          <w:sz w:val="32"/>
          <w:szCs w:val="32"/>
        </w:rPr>
        <w:t>对初选品牌名单进行专业复审，形成评审报告</w:t>
      </w:r>
      <w:r>
        <w:rPr>
          <w:rFonts w:ascii="仿宋_GB2312" w:hAnsi="仿宋" w:eastAsia="仿宋_GB2312"/>
          <w:sz w:val="32"/>
          <w:szCs w:val="32"/>
        </w:rPr>
        <w:t>及</w:t>
      </w:r>
      <w:r>
        <w:rPr>
          <w:rFonts w:hint="eastAsia" w:ascii="仿宋_GB2312" w:hAnsi="仿宋" w:eastAsia="仿宋_GB2312"/>
          <w:sz w:val="32"/>
          <w:szCs w:val="32"/>
        </w:rPr>
        <w:t>推选名单，报北京市农业农村局</w:t>
      </w:r>
      <w:r>
        <w:rPr>
          <w:rFonts w:hint="eastAsia" w:ascii="仿宋_GB2312" w:hAnsi="仿宋" w:eastAsia="仿宋_GB2312"/>
          <w:sz w:val="32"/>
          <w:szCs w:val="32"/>
          <w:lang w:eastAsia="zh-CN"/>
        </w:rPr>
        <w:t>市场与信息化处</w:t>
      </w:r>
      <w:r>
        <w:rPr>
          <w:rFonts w:hint="eastAsia" w:ascii="仿宋_GB2312" w:hAnsi="仿宋" w:eastAsia="仿宋_GB2312"/>
          <w:sz w:val="32"/>
          <w:szCs w:val="32"/>
        </w:rPr>
        <w:t>审议。</w:t>
      </w:r>
    </w:p>
    <w:p>
      <w:pPr>
        <w:pStyle w:val="12"/>
        <w:widowControl w:val="0"/>
        <w:shd w:val="clear" w:color="auto" w:fill="FFFFFF"/>
        <w:spacing w:before="0" w:beforeAutospacing="0" w:after="0" w:afterAutospacing="0" w:line="600" w:lineRule="exact"/>
        <w:ind w:firstLine="556"/>
        <w:jc w:val="both"/>
        <w:rPr>
          <w:rFonts w:ascii="仿宋_GB2312" w:hAnsi="仿宋" w:eastAsia="仿宋_GB2312"/>
          <w:sz w:val="32"/>
          <w:szCs w:val="32"/>
        </w:rPr>
      </w:pPr>
      <w:r>
        <w:rPr>
          <w:rFonts w:hint="eastAsia" w:ascii="仿宋_GB2312" w:hAnsi="仿宋" w:eastAsia="仿宋_GB2312"/>
          <w:sz w:val="32"/>
          <w:szCs w:val="32"/>
        </w:rPr>
        <w:t>（四）公示复核。审定后的推选名单</w:t>
      </w:r>
      <w:r>
        <w:rPr>
          <w:rFonts w:ascii="仿宋_GB2312" w:hAnsi="仿宋" w:eastAsia="仿宋_GB2312"/>
          <w:sz w:val="32"/>
          <w:szCs w:val="32"/>
        </w:rPr>
        <w:t>面向社会公示5</w:t>
      </w:r>
      <w:r>
        <w:rPr>
          <w:rFonts w:hint="eastAsia" w:ascii="仿宋_GB2312" w:hAnsi="仿宋" w:eastAsia="仿宋_GB2312"/>
          <w:sz w:val="32"/>
          <w:szCs w:val="32"/>
        </w:rPr>
        <w:t>个工作日</w:t>
      </w:r>
      <w:r>
        <w:rPr>
          <w:rFonts w:ascii="仿宋_GB2312" w:hAnsi="仿宋" w:eastAsia="仿宋_GB2312"/>
          <w:sz w:val="32"/>
          <w:szCs w:val="32"/>
        </w:rPr>
        <w:t>，公示期如有异议，组织复核并提出复核意见</w:t>
      </w:r>
      <w:r>
        <w:rPr>
          <w:rFonts w:hint="eastAsia" w:ascii="仿宋_GB2312" w:hAnsi="仿宋" w:eastAsia="仿宋_GB2312"/>
          <w:sz w:val="32"/>
          <w:szCs w:val="32"/>
        </w:rPr>
        <w:t>，最终结果</w:t>
      </w:r>
      <w:r>
        <w:rPr>
          <w:rFonts w:ascii="仿宋_GB2312" w:hAnsi="仿宋" w:eastAsia="仿宋_GB2312"/>
          <w:sz w:val="32"/>
          <w:szCs w:val="32"/>
        </w:rPr>
        <w:t>向</w:t>
      </w:r>
      <w:r>
        <w:rPr>
          <w:rFonts w:hint="eastAsia" w:ascii="仿宋_GB2312" w:hAnsi="仿宋" w:eastAsia="仿宋_GB2312"/>
          <w:sz w:val="32"/>
          <w:szCs w:val="32"/>
        </w:rPr>
        <w:t>北京市农业农村局</w:t>
      </w:r>
      <w:r>
        <w:rPr>
          <w:rFonts w:hint="eastAsia" w:ascii="仿宋_GB2312" w:hAnsi="仿宋" w:eastAsia="仿宋_GB2312"/>
          <w:sz w:val="32"/>
          <w:szCs w:val="32"/>
          <w:lang w:eastAsia="zh-CN"/>
        </w:rPr>
        <w:t>市场与信息化处</w:t>
      </w:r>
      <w:r>
        <w:rPr>
          <w:rFonts w:hint="eastAsia" w:ascii="仿宋_GB2312" w:hAnsi="仿宋" w:eastAsia="仿宋_GB2312"/>
          <w:sz w:val="32"/>
          <w:szCs w:val="32"/>
        </w:rPr>
        <w:t>备案</w:t>
      </w:r>
      <w:r>
        <w:rPr>
          <w:rFonts w:ascii="仿宋_GB2312" w:hAnsi="仿宋" w:eastAsia="仿宋_GB2312"/>
          <w:sz w:val="32"/>
          <w:szCs w:val="32"/>
        </w:rPr>
        <w:t>。</w:t>
      </w:r>
    </w:p>
    <w:p>
      <w:pPr>
        <w:pStyle w:val="12"/>
        <w:widowControl w:val="0"/>
        <w:shd w:val="clear" w:color="auto" w:fill="FFFFFF"/>
        <w:spacing w:before="0" w:beforeAutospacing="0" w:after="0" w:afterAutospacing="0" w:line="600" w:lineRule="exact"/>
        <w:ind w:firstLine="556"/>
        <w:jc w:val="both"/>
        <w:rPr>
          <w:rFonts w:ascii="仿宋_GB2312" w:hAnsi="仿宋" w:eastAsia="仿宋_GB2312"/>
          <w:sz w:val="32"/>
          <w:szCs w:val="32"/>
        </w:rPr>
      </w:pPr>
      <w:r>
        <w:rPr>
          <w:rFonts w:hint="eastAsia" w:ascii="仿宋_GB2312" w:hAnsi="仿宋" w:eastAsia="仿宋_GB2312"/>
          <w:sz w:val="32"/>
          <w:szCs w:val="32"/>
        </w:rPr>
        <w:t>（五）发布颁证。发布</w:t>
      </w:r>
      <w:r>
        <w:rPr>
          <w:rFonts w:ascii="仿宋_GB2312" w:hAnsi="仿宋" w:eastAsia="仿宋_GB2312"/>
          <w:sz w:val="32"/>
          <w:szCs w:val="32"/>
        </w:rPr>
        <w:t>《</w:t>
      </w:r>
      <w:r>
        <w:rPr>
          <w:rFonts w:hint="eastAsia" w:ascii="仿宋_GB2312" w:hAnsi="仿宋" w:eastAsia="仿宋_GB2312"/>
          <w:sz w:val="32"/>
          <w:szCs w:val="32"/>
        </w:rPr>
        <w:t>“北京优农”品牌目录</w:t>
      </w:r>
      <w:r>
        <w:rPr>
          <w:rFonts w:ascii="仿宋_GB2312" w:hAnsi="仿宋" w:eastAsia="仿宋_GB2312"/>
          <w:sz w:val="32"/>
          <w:szCs w:val="32"/>
        </w:rPr>
        <w:t>》</w:t>
      </w:r>
      <w:r>
        <w:rPr>
          <w:rFonts w:hint="eastAsia" w:ascii="仿宋_GB2312" w:hAnsi="仿宋" w:eastAsia="仿宋_GB2312"/>
          <w:sz w:val="32"/>
          <w:szCs w:val="32"/>
        </w:rPr>
        <w:t>并由8家协（学）会</w:t>
      </w:r>
      <w:r>
        <w:rPr>
          <w:rFonts w:ascii="仿宋_GB2312" w:hAnsi="仿宋" w:eastAsia="仿宋_GB2312"/>
          <w:sz w:val="32"/>
          <w:szCs w:val="32"/>
        </w:rPr>
        <w:t>颁发证书，</w:t>
      </w:r>
      <w:r>
        <w:rPr>
          <w:rFonts w:hint="eastAsia" w:ascii="仿宋_GB2312" w:hAnsi="仿宋" w:eastAsia="仿宋_GB2312"/>
          <w:sz w:val="32"/>
          <w:szCs w:val="32"/>
        </w:rPr>
        <w:t>统一向社会推介，</w:t>
      </w:r>
      <w:r>
        <w:rPr>
          <w:rFonts w:ascii="仿宋_GB2312" w:hAnsi="仿宋" w:eastAsia="仿宋_GB2312"/>
          <w:sz w:val="32"/>
          <w:szCs w:val="32"/>
        </w:rPr>
        <w:t>引导消费</w:t>
      </w:r>
      <w:r>
        <w:rPr>
          <w:rFonts w:hint="eastAsia" w:ascii="仿宋_GB2312" w:hAnsi="仿宋" w:eastAsia="仿宋_GB2312"/>
          <w:sz w:val="32"/>
          <w:szCs w:val="32"/>
        </w:rPr>
        <w:t>。</w:t>
      </w:r>
    </w:p>
    <w:p>
      <w:pPr>
        <w:pStyle w:val="12"/>
        <w:shd w:val="clear" w:color="auto" w:fill="FFFFFF"/>
        <w:spacing w:before="312" w:beforeLines="100" w:beforeAutospacing="0" w:after="312" w:afterLines="100" w:afterAutospacing="0" w:line="600" w:lineRule="exact"/>
        <w:jc w:val="center"/>
        <w:rPr>
          <w:rFonts w:ascii="黑体" w:hAnsi="黑体" w:eastAsia="黑体"/>
          <w:sz w:val="32"/>
          <w:szCs w:val="32"/>
        </w:rPr>
      </w:pPr>
      <w:r>
        <w:rPr>
          <w:rFonts w:hint="eastAsia" w:ascii="黑体" w:hAnsi="黑体" w:eastAsia="黑体"/>
          <w:sz w:val="32"/>
          <w:szCs w:val="32"/>
        </w:rPr>
        <w:t>第五章 支持保护</w:t>
      </w:r>
    </w:p>
    <w:p>
      <w:pPr>
        <w:pStyle w:val="12"/>
        <w:shd w:val="clear" w:color="auto" w:fill="FFFFFF"/>
        <w:spacing w:before="0" w:beforeAutospacing="0" w:after="0" w:afterAutospacing="0" w:line="600" w:lineRule="exact"/>
        <w:ind w:firstLine="642" w:firstLineChars="200"/>
        <w:jc w:val="both"/>
        <w:rPr>
          <w:rFonts w:ascii="仿宋_GB2312" w:hAnsi="仿宋" w:eastAsia="仿宋_GB2312"/>
          <w:color w:val="FF0000"/>
          <w:sz w:val="32"/>
          <w:szCs w:val="32"/>
        </w:rPr>
      </w:pPr>
      <w:r>
        <w:rPr>
          <w:rFonts w:hint="eastAsia" w:ascii="仿宋_GB2312" w:hAnsi="仿宋" w:eastAsia="仿宋_GB2312"/>
          <w:b/>
          <w:sz w:val="32"/>
          <w:szCs w:val="32"/>
        </w:rPr>
        <w:t xml:space="preserve">第九条 </w:t>
      </w:r>
      <w:r>
        <w:rPr>
          <w:rFonts w:hint="eastAsia" w:ascii="仿宋_GB2312" w:hAnsi="仿宋" w:eastAsia="仿宋_GB2312"/>
          <w:sz w:val="32"/>
          <w:szCs w:val="32"/>
        </w:rPr>
        <w:t>加强市、区农业农村品牌建设相关部门协同联动，在政策制定、项目建设、规划指导等方面对目录品牌给予支持。</w:t>
      </w:r>
    </w:p>
    <w:p>
      <w:pPr>
        <w:pStyle w:val="12"/>
        <w:shd w:val="clear" w:color="auto" w:fill="FFFFFF"/>
        <w:spacing w:before="0" w:beforeAutospacing="0" w:after="0" w:afterAutospacing="0" w:line="600" w:lineRule="exact"/>
        <w:ind w:firstLine="642" w:firstLineChars="200"/>
        <w:jc w:val="both"/>
        <w:rPr>
          <w:rFonts w:ascii="仿宋_GB2312" w:hAnsi="仿宋" w:eastAsia="仿宋_GB2312"/>
          <w:sz w:val="32"/>
          <w:szCs w:val="32"/>
        </w:rPr>
      </w:pPr>
      <w:r>
        <w:rPr>
          <w:rFonts w:hint="eastAsia" w:ascii="仿宋_GB2312" w:hAnsi="仿宋" w:eastAsia="仿宋_GB2312"/>
          <w:b/>
          <w:sz w:val="32"/>
          <w:szCs w:val="32"/>
        </w:rPr>
        <w:t xml:space="preserve">第十条 </w:t>
      </w:r>
      <w:r>
        <w:rPr>
          <w:rFonts w:hint="eastAsia" w:ascii="仿宋_GB2312" w:hAnsi="仿宋" w:eastAsia="仿宋_GB2312"/>
          <w:sz w:val="32"/>
          <w:szCs w:val="32"/>
        </w:rPr>
        <w:t>深入挖掘农耕文化价值与地域风情，充分利用中国农民丰收节、中国国际农产品交易会等重要平台，采用现代数字化技术手段，推动“文化+技术+平台”与品牌营销的深度融合。</w:t>
      </w:r>
    </w:p>
    <w:p>
      <w:pPr>
        <w:autoSpaceDE w:val="0"/>
        <w:autoSpaceDN w:val="0"/>
        <w:adjustRightInd w:val="0"/>
        <w:spacing w:line="600" w:lineRule="exact"/>
        <w:ind w:firstLine="642"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第十一条 </w:t>
      </w:r>
      <w:r>
        <w:rPr>
          <w:rFonts w:hint="eastAsia" w:ascii="仿宋_GB2312" w:hAnsi="仿宋" w:eastAsia="仿宋_GB2312"/>
          <w:sz w:val="32"/>
          <w:szCs w:val="32"/>
        </w:rPr>
        <w:t>依托国家或区域重点展会、产销对接活动等对目录品牌进行专题推介，加强与批发市场、商超、电商、媒体平台以及行业组织等的对接与合作，开设销售专区，促进目录品牌产品优质优价。</w:t>
      </w:r>
    </w:p>
    <w:p>
      <w:pPr>
        <w:autoSpaceDE w:val="0"/>
        <w:autoSpaceDN w:val="0"/>
        <w:adjustRightInd w:val="0"/>
        <w:spacing w:line="600" w:lineRule="exact"/>
        <w:ind w:firstLine="642" w:firstLineChars="200"/>
        <w:rPr>
          <w:rFonts w:ascii="仿宋_GB2312" w:hAnsi="仿宋" w:eastAsia="仿宋_GB2312" w:cs="宋体"/>
          <w:kern w:val="0"/>
          <w:sz w:val="32"/>
          <w:szCs w:val="32"/>
        </w:rPr>
      </w:pPr>
      <w:r>
        <w:rPr>
          <w:rFonts w:hint="eastAsia" w:ascii="仿宋_GB2312" w:hAnsi="仿宋" w:eastAsia="仿宋_GB2312" w:cs="宋体"/>
          <w:b/>
          <w:kern w:val="0"/>
          <w:sz w:val="32"/>
          <w:szCs w:val="32"/>
        </w:rPr>
        <w:t xml:space="preserve">第十二条 </w:t>
      </w:r>
      <w:r>
        <w:rPr>
          <w:rFonts w:hint="eastAsia" w:ascii="仿宋_GB2312" w:hAnsi="仿宋" w:eastAsia="仿宋_GB2312"/>
          <w:sz w:val="32"/>
          <w:szCs w:val="32"/>
        </w:rPr>
        <w:t>鼓励目录品牌参加国际知名展会，充分利用农业对外交流项目，对目录品牌进行重点推介。</w:t>
      </w:r>
    </w:p>
    <w:p>
      <w:pPr>
        <w:autoSpaceDE w:val="0"/>
        <w:autoSpaceDN w:val="0"/>
        <w:adjustRightInd w:val="0"/>
        <w:spacing w:line="600" w:lineRule="exact"/>
        <w:ind w:firstLine="642" w:firstLineChars="200"/>
        <w:rPr>
          <w:rFonts w:ascii="仿宋_GB2312" w:hAnsi="仿宋" w:eastAsia="仿宋_GB2312" w:cs="宋体"/>
          <w:kern w:val="0"/>
          <w:sz w:val="32"/>
          <w:szCs w:val="32"/>
        </w:rPr>
      </w:pPr>
      <w:r>
        <w:rPr>
          <w:rFonts w:hint="eastAsia" w:ascii="仿宋_GB2312" w:hAnsi="仿宋" w:eastAsia="仿宋_GB2312"/>
          <w:b/>
          <w:sz w:val="32"/>
          <w:szCs w:val="32"/>
        </w:rPr>
        <w:t xml:space="preserve">第十三条 </w:t>
      </w:r>
      <w:r>
        <w:rPr>
          <w:rFonts w:hint="eastAsia" w:ascii="仿宋_GB2312" w:hAnsi="仿宋" w:eastAsia="仿宋_GB2312" w:cs="宋体"/>
          <w:kern w:val="0"/>
          <w:sz w:val="32"/>
          <w:szCs w:val="32"/>
        </w:rPr>
        <w:t>研究设立北京农业品牌主场活动，推进各区线下体验馆建设和宣展活动开展，展示成果、引导消费，促进品牌产品与市场精准对接。</w:t>
      </w:r>
    </w:p>
    <w:p>
      <w:pPr>
        <w:autoSpaceDE w:val="0"/>
        <w:autoSpaceDN w:val="0"/>
        <w:adjustRightInd w:val="0"/>
        <w:spacing w:line="600" w:lineRule="exact"/>
        <w:ind w:firstLine="642" w:firstLineChars="200"/>
        <w:rPr>
          <w:rFonts w:ascii="仿宋_GB2312" w:hAnsi="仿宋" w:eastAsia="仿宋_GB2312" w:cs="宋体"/>
          <w:kern w:val="0"/>
          <w:sz w:val="32"/>
          <w:szCs w:val="32"/>
        </w:rPr>
      </w:pPr>
      <w:r>
        <w:rPr>
          <w:rFonts w:hint="eastAsia" w:ascii="仿宋_GB2312" w:hAnsi="仿宋" w:eastAsia="仿宋_GB2312"/>
          <w:b/>
          <w:sz w:val="32"/>
          <w:szCs w:val="32"/>
        </w:rPr>
        <w:t xml:space="preserve">第十四条 </w:t>
      </w:r>
      <w:r>
        <w:rPr>
          <w:rFonts w:hint="eastAsia" w:ascii="仿宋_GB2312" w:hAnsi="仿宋" w:eastAsia="仿宋_GB2312" w:cs="宋体"/>
          <w:kern w:val="0"/>
          <w:sz w:val="32"/>
          <w:szCs w:val="32"/>
        </w:rPr>
        <w:t>加强与金融机构合作，加大对品牌主体知识产权金融质押的信贷、保险等支持力度，提供更为便捷的融资渠道和服务。</w:t>
      </w:r>
    </w:p>
    <w:p>
      <w:pPr>
        <w:autoSpaceDE w:val="0"/>
        <w:autoSpaceDN w:val="0"/>
        <w:adjustRightInd w:val="0"/>
        <w:spacing w:line="600" w:lineRule="exact"/>
        <w:ind w:firstLine="642" w:firstLineChars="200"/>
        <w:rPr>
          <w:rFonts w:ascii="仿宋_GB2312" w:hAnsi="仿宋" w:eastAsia="仿宋_GB2312" w:cs="宋体"/>
          <w:kern w:val="0"/>
          <w:sz w:val="32"/>
          <w:szCs w:val="32"/>
        </w:rPr>
      </w:pPr>
      <w:r>
        <w:rPr>
          <w:rFonts w:hint="eastAsia" w:ascii="仿宋_GB2312" w:hAnsi="仿宋" w:eastAsia="仿宋_GB2312"/>
          <w:b/>
          <w:sz w:val="32"/>
          <w:szCs w:val="32"/>
        </w:rPr>
        <w:t xml:space="preserve">第十五条 </w:t>
      </w:r>
      <w:r>
        <w:rPr>
          <w:rFonts w:hint="eastAsia" w:ascii="仿宋_GB2312" w:hAnsi="仿宋" w:eastAsia="仿宋_GB2312" w:cs="宋体"/>
          <w:kern w:val="0"/>
          <w:sz w:val="32"/>
          <w:szCs w:val="32"/>
        </w:rPr>
        <w:t>联合有关单位或部门加强对</w:t>
      </w:r>
      <w:r>
        <w:rPr>
          <w:rFonts w:hint="eastAsia" w:ascii="仿宋_GB2312" w:hAnsi="仿宋" w:eastAsia="仿宋_GB2312"/>
          <w:sz w:val="32"/>
          <w:szCs w:val="32"/>
        </w:rPr>
        <w:t>目录</w:t>
      </w:r>
      <w:r>
        <w:rPr>
          <w:rFonts w:hint="eastAsia" w:ascii="仿宋_GB2312" w:hAnsi="仿宋" w:eastAsia="仿宋_GB2312" w:cs="宋体"/>
          <w:kern w:val="0"/>
          <w:sz w:val="32"/>
          <w:szCs w:val="32"/>
        </w:rPr>
        <w:t>品牌的监管保护，严厉打击假冒伪劣和侵犯知识产权等行为，积极营造公平竞争的市场环境。支持、鼓励品牌主体在包装标识上的规范与创新，体现“北京优农”元素，适时开展专用标识授权使用。</w:t>
      </w:r>
    </w:p>
    <w:p>
      <w:pPr>
        <w:autoSpaceDE w:val="0"/>
        <w:autoSpaceDN w:val="0"/>
        <w:adjustRightInd w:val="0"/>
        <w:spacing w:before="312" w:beforeLines="100" w:after="312" w:afterLines="100" w:line="600" w:lineRule="exact"/>
        <w:jc w:val="center"/>
        <w:rPr>
          <w:rFonts w:ascii="仿宋" w:hAnsi="仿宋" w:eastAsia="仿宋" w:cs="宋体"/>
          <w:kern w:val="0"/>
          <w:sz w:val="32"/>
          <w:szCs w:val="32"/>
        </w:rPr>
      </w:pPr>
      <w:r>
        <w:rPr>
          <w:rFonts w:hint="eastAsia" w:ascii="黑体" w:hAnsi="黑体" w:eastAsia="黑体"/>
          <w:sz w:val="32"/>
          <w:szCs w:val="32"/>
        </w:rPr>
        <w:t>第六章 动态管理</w:t>
      </w:r>
    </w:p>
    <w:p>
      <w:pPr>
        <w:pStyle w:val="12"/>
        <w:shd w:val="clear" w:color="auto" w:fill="FFFFFF"/>
        <w:spacing w:before="0" w:beforeAutospacing="0" w:after="0" w:afterAutospacing="0" w:line="600" w:lineRule="exact"/>
        <w:ind w:firstLine="555"/>
        <w:jc w:val="both"/>
        <w:rPr>
          <w:rFonts w:ascii="仿宋_GB2312" w:hAnsi="仿宋" w:eastAsia="仿宋_GB2312"/>
          <w:sz w:val="32"/>
          <w:szCs w:val="32"/>
        </w:rPr>
      </w:pPr>
      <w:r>
        <w:rPr>
          <w:rFonts w:hint="eastAsia" w:ascii="仿宋_GB2312" w:hAnsi="仿宋" w:eastAsia="仿宋_GB2312"/>
          <w:b/>
          <w:sz w:val="32"/>
          <w:szCs w:val="32"/>
        </w:rPr>
        <w:t xml:space="preserve">第十六条 </w:t>
      </w:r>
      <w:r>
        <w:rPr>
          <w:rFonts w:hint="eastAsia" w:ascii="仿宋_GB2312" w:hAnsi="仿宋" w:eastAsia="仿宋_GB2312"/>
          <w:sz w:val="32"/>
          <w:szCs w:val="32"/>
        </w:rPr>
        <w:t>《“北京优农”品牌目录》每年发布一次并实行动态管理，优胜劣汰，促进企业间良性竞争、资源整合、转型升级。</w:t>
      </w:r>
    </w:p>
    <w:p>
      <w:pPr>
        <w:pStyle w:val="12"/>
        <w:shd w:val="clear" w:color="auto" w:fill="FFFFFF"/>
        <w:spacing w:before="0" w:beforeAutospacing="0" w:after="0" w:afterAutospacing="0" w:line="600" w:lineRule="exact"/>
        <w:ind w:firstLine="555"/>
        <w:jc w:val="both"/>
        <w:rPr>
          <w:rFonts w:ascii="仿宋_GB2312" w:hAnsi="仿宋" w:eastAsia="仿宋_GB2312"/>
          <w:sz w:val="32"/>
          <w:szCs w:val="32"/>
        </w:rPr>
      </w:pPr>
      <w:r>
        <w:rPr>
          <w:rFonts w:hint="eastAsia" w:ascii="仿宋_GB2312" w:hAnsi="仿宋" w:eastAsia="仿宋_GB2312"/>
          <w:b/>
          <w:sz w:val="32"/>
          <w:szCs w:val="32"/>
        </w:rPr>
        <w:t xml:space="preserve">第十七条 </w:t>
      </w:r>
      <w:r>
        <w:rPr>
          <w:rFonts w:hint="eastAsia" w:ascii="仿宋_GB2312" w:hAnsi="仿宋" w:eastAsia="仿宋_GB2312"/>
          <w:sz w:val="32"/>
          <w:szCs w:val="32"/>
        </w:rPr>
        <w:t>“北京优农”品牌证书规格、样式由数字中心统一制定，品牌主体应在证书载明的范围内使用，不得私自扩大使用范围，并在年度有效期满</w:t>
      </w:r>
      <w:r>
        <w:rPr>
          <w:rFonts w:hint="default" w:ascii="仿宋_GB2312" w:hAnsi="仿宋" w:eastAsia="仿宋_GB2312"/>
          <w:sz w:val="32"/>
          <w:szCs w:val="32"/>
          <w:lang w:val="en"/>
        </w:rPr>
        <w:t>6</w:t>
      </w:r>
      <w:r>
        <w:rPr>
          <w:rFonts w:hint="eastAsia" w:ascii="仿宋_GB2312" w:hAnsi="仿宋" w:eastAsia="仿宋_GB2312"/>
          <w:sz w:val="32"/>
          <w:szCs w:val="32"/>
        </w:rPr>
        <w:t>0日前通过系统填写</w:t>
      </w:r>
      <w:r>
        <w:rPr>
          <w:rFonts w:hint="eastAsia" w:ascii="仿宋_GB2312" w:hAnsi="仿宋" w:eastAsia="仿宋_GB2312"/>
          <w:sz w:val="32"/>
          <w:szCs w:val="32"/>
          <w:lang w:eastAsia="zh-CN"/>
        </w:rPr>
        <w:t>相关信息</w:t>
      </w:r>
      <w:r>
        <w:rPr>
          <w:rFonts w:hint="eastAsia" w:ascii="仿宋_GB2312" w:hAnsi="仿宋" w:eastAsia="仿宋_GB2312"/>
          <w:sz w:val="32"/>
          <w:szCs w:val="32"/>
        </w:rPr>
        <w:t>进行</w:t>
      </w:r>
      <w:r>
        <w:rPr>
          <w:rFonts w:hint="eastAsia" w:ascii="仿宋_GB2312" w:hAnsi="仿宋" w:eastAsia="仿宋_GB2312"/>
          <w:sz w:val="32"/>
          <w:szCs w:val="32"/>
          <w:lang w:eastAsia="zh-CN"/>
        </w:rPr>
        <w:t>年度确认</w:t>
      </w:r>
      <w:r>
        <w:rPr>
          <w:rFonts w:hint="eastAsia" w:ascii="仿宋_GB2312" w:hAnsi="仿宋" w:eastAsia="仿宋_GB2312"/>
          <w:sz w:val="32"/>
          <w:szCs w:val="32"/>
        </w:rPr>
        <w:t>。</w:t>
      </w:r>
    </w:p>
    <w:p>
      <w:pPr>
        <w:pStyle w:val="12"/>
        <w:shd w:val="clear" w:color="auto" w:fill="FFFFFF"/>
        <w:spacing w:before="0" w:beforeAutospacing="0" w:after="0" w:afterAutospacing="0" w:line="600" w:lineRule="exact"/>
        <w:ind w:firstLine="555"/>
        <w:jc w:val="both"/>
        <w:rPr>
          <w:rFonts w:ascii="仿宋_GB2312" w:hAnsi="仿宋" w:eastAsia="仿宋_GB2312"/>
          <w:sz w:val="32"/>
          <w:szCs w:val="32"/>
        </w:rPr>
      </w:pPr>
      <w:r>
        <w:rPr>
          <w:rFonts w:hint="eastAsia" w:ascii="仿宋_GB2312" w:hAnsi="仿宋" w:eastAsia="仿宋_GB2312"/>
          <w:b/>
          <w:sz w:val="32"/>
          <w:szCs w:val="32"/>
        </w:rPr>
        <w:t xml:space="preserve">第十八条 </w:t>
      </w:r>
      <w:r>
        <w:rPr>
          <w:rFonts w:hint="eastAsia" w:ascii="仿宋_GB2312" w:hAnsi="仿宋" w:eastAsia="仿宋_GB2312"/>
          <w:sz w:val="32"/>
          <w:szCs w:val="32"/>
        </w:rPr>
        <w:t>品牌主体有如下情形，将暂停或取消其目录品牌资格，并且三年内不再受理其申请。</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
        </w:rPr>
        <w:t>（一）</w:t>
      </w:r>
      <w:r>
        <w:rPr>
          <w:rFonts w:hint="eastAsia" w:ascii="仿宋_GB2312" w:hAnsi="仿宋" w:eastAsia="仿宋_GB2312"/>
          <w:sz w:val="32"/>
          <w:szCs w:val="32"/>
        </w:rPr>
        <w:t>有违反法律法规行为的。</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（二）弄虚作假，拒不配合监督检查的。</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（三）发生重大产品质量问题、重大安全事故的。</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（四）丧失主体申报资格或生产经营出现问题，不能正常履行主体责任的。</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五</w:t>
      </w:r>
      <w:r>
        <w:rPr>
          <w:rFonts w:hint="eastAsia" w:ascii="仿宋_GB2312" w:hAnsi="仿宋" w:eastAsia="仿宋_GB2312"/>
          <w:sz w:val="32"/>
          <w:szCs w:val="32"/>
        </w:rPr>
        <w:t>）材料真实性及实际生产情况抽查不达标的。</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六</w:t>
      </w:r>
      <w:r>
        <w:rPr>
          <w:rFonts w:hint="eastAsia" w:ascii="仿宋_GB2312" w:hAnsi="仿宋" w:eastAsia="仿宋_GB2312"/>
          <w:sz w:val="32"/>
          <w:szCs w:val="32"/>
        </w:rPr>
        <w:t>）逾期未重新申报或者申报未通过的，以及主动退出的。</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七</w:t>
      </w:r>
      <w:r>
        <w:rPr>
          <w:rFonts w:hint="eastAsia" w:ascii="仿宋_GB2312" w:hAnsi="仿宋" w:eastAsia="仿宋_GB2312"/>
          <w:sz w:val="32"/>
          <w:szCs w:val="32"/>
        </w:rPr>
        <w:t>）全年未参与“北京优农”各项活动，转让、出租活动参与权的。</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八</w:t>
      </w:r>
      <w:r>
        <w:rPr>
          <w:rFonts w:hint="eastAsia" w:ascii="仿宋_GB2312" w:hAnsi="仿宋" w:eastAsia="仿宋_GB2312"/>
          <w:sz w:val="32"/>
          <w:szCs w:val="32"/>
        </w:rPr>
        <w:t>）未积极反馈、上报相关数据，不配合北京市农业农村局相关工作的。</w:t>
      </w:r>
    </w:p>
    <w:p>
      <w:pPr>
        <w:pStyle w:val="12"/>
        <w:shd w:val="clear" w:color="auto" w:fill="FFFFFF"/>
        <w:spacing w:before="0" w:beforeAutospacing="0" w:after="0" w:afterAutospacing="0" w:line="60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九</w:t>
      </w:r>
      <w:r>
        <w:rPr>
          <w:rFonts w:hint="eastAsia" w:ascii="仿宋_GB2312" w:hAnsi="仿宋" w:eastAsia="仿宋_GB2312"/>
          <w:sz w:val="32"/>
          <w:szCs w:val="32"/>
        </w:rPr>
        <w:t>）其他需要暂停或取消资格的情形。</w:t>
      </w:r>
    </w:p>
    <w:p>
      <w:pPr>
        <w:widowControl/>
        <w:shd w:val="clear" w:color="auto" w:fill="FFFFFF"/>
        <w:spacing w:line="600" w:lineRule="exact"/>
        <w:ind w:firstLine="555"/>
        <w:rPr>
          <w:rFonts w:ascii="仿宋_GB2312" w:hAnsi="仿宋" w:eastAsia="仿宋_GB2312" w:cs="宋体"/>
          <w:kern w:val="0"/>
          <w:sz w:val="32"/>
          <w:szCs w:val="32"/>
        </w:rPr>
      </w:pPr>
      <w:r>
        <w:rPr>
          <w:rFonts w:hint="eastAsia" w:ascii="仿宋_GB2312" w:hAnsi="仿宋" w:eastAsia="仿宋_GB2312"/>
          <w:b/>
          <w:sz w:val="32"/>
          <w:szCs w:val="32"/>
        </w:rPr>
        <w:t xml:space="preserve">第十九条 </w:t>
      </w:r>
      <w:r>
        <w:rPr>
          <w:rFonts w:hint="eastAsia" w:ascii="仿宋_GB2312" w:hAnsi="仿宋" w:eastAsia="仿宋_GB2312" w:cs="宋体"/>
          <w:kern w:val="0"/>
          <w:sz w:val="32"/>
          <w:szCs w:val="32"/>
        </w:rPr>
        <w:t>参与“北京优农”品牌认定工作的有关单位和人员，要严格依法依规办事，不得泄露企业的商业机密和知识产权，工作中造成目录品牌权益受损的，按照有关规定给予处理；构成犯罪的，依法追究刑事责任。</w:t>
      </w:r>
    </w:p>
    <w:p>
      <w:pPr>
        <w:pStyle w:val="12"/>
        <w:shd w:val="clear" w:color="auto" w:fill="FFFFFF"/>
        <w:spacing w:before="0" w:beforeAutospacing="0" w:after="0" w:afterAutospacing="0" w:line="600" w:lineRule="exact"/>
        <w:ind w:firstLine="642" w:firstLineChars="200"/>
        <w:jc w:val="both"/>
        <w:rPr>
          <w:rFonts w:ascii="仿宋_GB2312" w:hAnsi="仿宋" w:eastAsia="仿宋_GB2312"/>
          <w:sz w:val="32"/>
          <w:szCs w:val="32"/>
        </w:rPr>
      </w:pPr>
      <w:r>
        <w:rPr>
          <w:rFonts w:hint="eastAsia" w:ascii="仿宋_GB2312" w:hAnsi="仿宋" w:eastAsia="仿宋_GB2312"/>
          <w:b/>
          <w:sz w:val="32"/>
          <w:szCs w:val="32"/>
        </w:rPr>
        <w:t xml:space="preserve">第二十条 </w:t>
      </w:r>
      <w:r>
        <w:rPr>
          <w:rFonts w:hint="eastAsia" w:ascii="仿宋_GB2312" w:hAnsi="仿宋" w:eastAsia="仿宋_GB2312"/>
          <w:sz w:val="32"/>
          <w:szCs w:val="32"/>
        </w:rPr>
        <w:t>除按本办法规定的“北京优农”品牌认定主体外，其他组织和个人不得进行“北京优农”品牌的认定活动，否则依法追究责任。</w:t>
      </w:r>
    </w:p>
    <w:p>
      <w:pPr>
        <w:widowControl/>
        <w:shd w:val="clear" w:color="auto" w:fill="FFFFFF"/>
        <w:spacing w:line="600" w:lineRule="exact"/>
        <w:ind w:firstLine="555"/>
        <w:rPr>
          <w:rFonts w:ascii="仿宋_GB2312" w:hAnsi="仿宋" w:eastAsia="仿宋_GB2312"/>
          <w:sz w:val="32"/>
          <w:szCs w:val="32"/>
        </w:rPr>
      </w:pPr>
      <w:r>
        <w:rPr>
          <w:rFonts w:hint="eastAsia" w:ascii="仿宋_GB2312" w:hAnsi="仿宋" w:eastAsia="仿宋_GB2312" w:cs="宋体"/>
          <w:b/>
          <w:kern w:val="0"/>
          <w:sz w:val="32"/>
          <w:szCs w:val="32"/>
        </w:rPr>
        <w:t xml:space="preserve">第二十一条 </w:t>
      </w:r>
      <w:r>
        <w:rPr>
          <w:rFonts w:hint="eastAsia" w:ascii="仿宋_GB2312" w:hAnsi="仿宋" w:eastAsia="仿宋_GB2312"/>
          <w:sz w:val="32"/>
          <w:szCs w:val="32"/>
        </w:rPr>
        <w:t>“北京优农”品牌认定工作接受社会监督，对举报的相关违规违法等问题，相关责任部门将进行认真核查反馈，并加以改正。</w:t>
      </w:r>
    </w:p>
    <w:p>
      <w:pPr>
        <w:pStyle w:val="12"/>
        <w:shd w:val="clear" w:color="auto" w:fill="FFFFFF"/>
        <w:spacing w:before="312" w:beforeLines="100" w:beforeAutospacing="0" w:after="312" w:afterLines="100" w:afterAutospacing="0" w:line="600" w:lineRule="exact"/>
        <w:jc w:val="center"/>
        <w:rPr>
          <w:rFonts w:ascii="黑体" w:hAnsi="黑体" w:eastAsia="黑体"/>
          <w:sz w:val="32"/>
          <w:szCs w:val="32"/>
        </w:rPr>
      </w:pPr>
      <w:r>
        <w:rPr>
          <w:rFonts w:hint="eastAsia" w:ascii="黑体" w:hAnsi="黑体" w:eastAsia="黑体"/>
          <w:sz w:val="32"/>
          <w:szCs w:val="32"/>
        </w:rPr>
        <w:t>第七章 附 则</w:t>
      </w:r>
    </w:p>
    <w:p>
      <w:pPr>
        <w:pStyle w:val="12"/>
        <w:shd w:val="clear" w:color="auto" w:fill="FFFFFF"/>
        <w:spacing w:before="0" w:beforeAutospacing="0" w:after="0" w:afterAutospacing="0" w:line="600" w:lineRule="exact"/>
        <w:ind w:firstLine="555"/>
        <w:jc w:val="both"/>
        <w:rPr>
          <w:rFonts w:ascii="仿宋_GB2312" w:hAnsi="仿宋" w:eastAsia="仿宋_GB2312" w:cstheme="minorBidi"/>
          <w:kern w:val="2"/>
          <w:sz w:val="32"/>
          <w:szCs w:val="32"/>
        </w:rPr>
      </w:pPr>
      <w:r>
        <w:rPr>
          <w:rFonts w:hint="eastAsia" w:ascii="仿宋_GB2312" w:hAnsi="仿宋" w:eastAsia="仿宋_GB2312"/>
          <w:b/>
          <w:sz w:val="32"/>
          <w:szCs w:val="32"/>
        </w:rPr>
        <w:t xml:space="preserve">第二十二条 </w:t>
      </w:r>
      <w:r>
        <w:rPr>
          <w:rFonts w:hint="eastAsia" w:ascii="仿宋_GB2312" w:hAnsi="仿宋" w:eastAsia="仿宋_GB2312" w:cstheme="minorBidi"/>
          <w:kern w:val="2"/>
          <w:sz w:val="32"/>
          <w:szCs w:val="32"/>
        </w:rPr>
        <w:t>“北京优农”品牌每年认定一次，过程不收取任何费用。</w:t>
      </w:r>
    </w:p>
    <w:p>
      <w:pPr>
        <w:pStyle w:val="12"/>
        <w:shd w:val="clear" w:color="auto" w:fill="FFFFFF"/>
        <w:spacing w:before="0" w:beforeAutospacing="0" w:after="0" w:afterAutospacing="0" w:line="600" w:lineRule="exact"/>
        <w:ind w:firstLine="555"/>
        <w:jc w:val="both"/>
        <w:rPr>
          <w:rFonts w:ascii="仿宋_GB2312" w:hAnsi="仿宋" w:eastAsia="仿宋_GB2312" w:cstheme="minorBidi"/>
          <w:kern w:val="2"/>
          <w:sz w:val="32"/>
          <w:szCs w:val="32"/>
        </w:rPr>
      </w:pPr>
      <w:r>
        <w:rPr>
          <w:rFonts w:hint="eastAsia" w:ascii="仿宋_GB2312" w:hAnsi="仿宋" w:eastAsia="仿宋_GB2312"/>
          <w:b/>
          <w:sz w:val="32"/>
          <w:szCs w:val="32"/>
        </w:rPr>
        <w:t>第二十三条</w:t>
      </w:r>
      <w:r>
        <w:rPr>
          <w:rFonts w:hint="eastAsia" w:ascii="仿宋_GB2312" w:hAnsi="仿宋" w:eastAsia="仿宋_GB2312"/>
          <w:sz w:val="32"/>
          <w:szCs w:val="32"/>
        </w:rPr>
        <w:t xml:space="preserve"> 本办法由品牌认定与管理工作组制修订并负责解释。</w:t>
      </w:r>
    </w:p>
    <w:p>
      <w:pPr>
        <w:pStyle w:val="12"/>
        <w:shd w:val="clear" w:color="auto" w:fill="FFFFFF"/>
        <w:spacing w:before="0" w:beforeAutospacing="0" w:after="0" w:afterAutospacing="0" w:line="600" w:lineRule="exact"/>
        <w:ind w:firstLine="555"/>
        <w:jc w:val="both"/>
        <w:rPr>
          <w:rFonts w:ascii="仿宋_GB2312" w:hAnsi="仿宋" w:eastAsia="仿宋_GB2312"/>
          <w:sz w:val="32"/>
          <w:szCs w:val="32"/>
        </w:rPr>
      </w:pPr>
      <w:r>
        <w:rPr>
          <w:rFonts w:hint="eastAsia" w:ascii="仿宋_GB2312" w:hAnsi="仿宋" w:eastAsia="仿宋_GB2312"/>
          <w:b/>
          <w:sz w:val="32"/>
          <w:szCs w:val="32"/>
        </w:rPr>
        <w:t>第二十四条</w:t>
      </w:r>
      <w:r>
        <w:rPr>
          <w:rFonts w:hint="eastAsia" w:ascii="仿宋_GB2312" w:hAnsi="仿宋" w:eastAsia="仿宋_GB2312"/>
          <w:sz w:val="32"/>
          <w:szCs w:val="32"/>
        </w:rPr>
        <w:t xml:space="preserve"> 本办法自公布之日起施行，原有文件与本办法不一致的以本办法为准。</w:t>
      </w:r>
    </w:p>
    <w:p>
      <w:pPr>
        <w:pStyle w:val="12"/>
        <w:shd w:val="clear" w:color="auto" w:fill="FFFFFF"/>
        <w:spacing w:before="0" w:beforeAutospacing="0" w:after="0" w:afterAutospacing="0" w:line="500" w:lineRule="exact"/>
        <w:jc w:val="both"/>
        <w:rPr>
          <w:rFonts w:ascii="仿宋" w:hAnsi="仿宋" w:eastAsia="仿宋"/>
          <w:sz w:val="32"/>
          <w:szCs w:val="32"/>
        </w:rPr>
      </w:pPr>
    </w:p>
    <w:p>
      <w:pPr>
        <w:pStyle w:val="12"/>
        <w:shd w:val="clear" w:color="auto" w:fill="FFFFFF"/>
        <w:spacing w:before="0" w:beforeAutospacing="0" w:after="0" w:afterAutospacing="0" w:line="500" w:lineRule="exact"/>
        <w:jc w:val="both"/>
        <w:rPr>
          <w:rFonts w:ascii="仿宋" w:hAnsi="仿宋" w:eastAsia="仿宋"/>
          <w:sz w:val="32"/>
          <w:szCs w:val="32"/>
        </w:rPr>
      </w:pPr>
    </w:p>
    <w:p>
      <w:pPr>
        <w:pStyle w:val="12"/>
        <w:shd w:val="clear" w:color="auto" w:fill="FFFFFF"/>
        <w:spacing w:before="0" w:beforeAutospacing="0" w:after="0" w:afterAutospacing="0" w:line="500" w:lineRule="exact"/>
        <w:jc w:val="both"/>
        <w:rPr>
          <w:rFonts w:ascii="仿宋" w:hAnsi="仿宋" w:eastAsia="仿宋"/>
          <w:sz w:val="32"/>
          <w:szCs w:val="32"/>
        </w:rPr>
      </w:pPr>
    </w:p>
    <w:p>
      <w:pPr>
        <w:pStyle w:val="12"/>
        <w:shd w:val="clear" w:color="auto" w:fill="FFFFFF"/>
        <w:spacing w:before="0" w:beforeAutospacing="0" w:after="0" w:afterAutospacing="0" w:line="500" w:lineRule="exact"/>
        <w:jc w:val="both"/>
        <w:rPr>
          <w:rFonts w:ascii="仿宋" w:hAnsi="仿宋" w:eastAsia="仿宋"/>
          <w:sz w:val="32"/>
          <w:szCs w:val="32"/>
        </w:rPr>
      </w:pPr>
    </w:p>
    <w:p>
      <w:pPr>
        <w:pStyle w:val="12"/>
        <w:shd w:val="clear" w:color="auto" w:fill="FFFFFF"/>
        <w:spacing w:before="0" w:beforeAutospacing="0" w:after="0" w:afterAutospacing="0" w:line="500" w:lineRule="exact"/>
        <w:jc w:val="both"/>
        <w:rPr>
          <w:rFonts w:ascii="仿宋" w:hAnsi="仿宋" w:eastAsia="仿宋"/>
          <w:sz w:val="32"/>
          <w:szCs w:val="32"/>
        </w:rPr>
      </w:pPr>
    </w:p>
    <w:p>
      <w:pPr>
        <w:pStyle w:val="12"/>
        <w:shd w:val="clear" w:color="auto" w:fill="FFFFFF"/>
        <w:spacing w:before="0" w:beforeAutospacing="0" w:after="0" w:afterAutospacing="0" w:line="500" w:lineRule="exact"/>
        <w:jc w:val="both"/>
        <w:rPr>
          <w:rFonts w:ascii="仿宋" w:hAnsi="仿宋" w:eastAsia="仿宋"/>
          <w:sz w:val="32"/>
          <w:szCs w:val="32"/>
        </w:rPr>
      </w:pPr>
    </w:p>
    <w:p>
      <w:pPr>
        <w:pStyle w:val="12"/>
        <w:shd w:val="clear" w:color="auto" w:fill="FFFFFF"/>
        <w:spacing w:before="0" w:beforeAutospacing="0" w:after="0" w:afterAutospacing="0" w:line="500" w:lineRule="exact"/>
        <w:jc w:val="both"/>
        <w:rPr>
          <w:rFonts w:ascii="仿宋" w:hAnsi="仿宋" w:eastAsia="仿宋"/>
          <w:sz w:val="32"/>
          <w:szCs w:val="32"/>
        </w:rPr>
      </w:pPr>
    </w:p>
    <w:p>
      <w:pPr>
        <w:pStyle w:val="12"/>
        <w:shd w:val="clear" w:color="auto" w:fill="FFFFFF"/>
        <w:spacing w:before="0" w:beforeAutospacing="0" w:after="0" w:afterAutospacing="0" w:line="500" w:lineRule="exact"/>
        <w:jc w:val="both"/>
        <w:rPr>
          <w:rFonts w:ascii="仿宋" w:hAnsi="仿宋" w:eastAsia="仿宋"/>
          <w:sz w:val="32"/>
          <w:szCs w:val="32"/>
        </w:rPr>
      </w:pPr>
    </w:p>
    <w:p>
      <w:pPr>
        <w:spacing w:line="360" w:lineRule="auto"/>
        <w:jc w:val="left"/>
        <w:rPr>
          <w:rFonts w:ascii="黑体" w:hAnsi="黑体" w:eastAsia="黑体"/>
          <w:sz w:val="32"/>
          <w:szCs w:val="32"/>
        </w:rPr>
      </w:pPr>
    </w:p>
    <w:sectPr>
      <w:footerReference r:id="rId4" w:type="first"/>
      <w:footerReference r:id="rId3" w:type="default"/>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964"/>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- 8 -</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heme="minorEastAsia" w:hAnsiTheme="minorEastAsia"/>
                              <w:sz w:val="28"/>
                              <w:szCs w:val="28"/>
                            </w:rPr>
                          </w:pPr>
                          <w:r>
                            <w:rPr>
                              <w:rFonts w:hint="eastAsia" w:ascii="CESI宋体-GB2312" w:hAnsi="CESI宋体-GB2312" w:eastAsia="CESI宋体-GB2312" w:cs="CESI宋体-GB2312"/>
                              <w:sz w:val="24"/>
                              <w:szCs w:val="24"/>
                            </w:rPr>
                            <w:fldChar w:fldCharType="begin"/>
                          </w:r>
                          <w:r>
                            <w:rPr>
                              <w:rFonts w:hint="eastAsia" w:ascii="CESI宋体-GB2312" w:hAnsi="CESI宋体-GB2312" w:eastAsia="CESI宋体-GB2312" w:cs="CESI宋体-GB2312"/>
                              <w:sz w:val="24"/>
                              <w:szCs w:val="24"/>
                            </w:rPr>
                            <w:instrText xml:space="preserve"> PAGE  \* MERGEFORMAT </w:instrText>
                          </w:r>
                          <w:r>
                            <w:rPr>
                              <w:rFonts w:hint="eastAsia" w:ascii="CESI宋体-GB2312" w:hAnsi="CESI宋体-GB2312" w:eastAsia="CESI宋体-GB2312" w:cs="CESI宋体-GB2312"/>
                              <w:sz w:val="24"/>
                              <w:szCs w:val="24"/>
                            </w:rPr>
                            <w:fldChar w:fldCharType="separate"/>
                          </w:r>
                          <w:r>
                            <w:rPr>
                              <w:rFonts w:ascii="CESI宋体-GB2312" w:hAnsi="CESI宋体-GB2312" w:eastAsia="CESI宋体-GB2312" w:cs="CESI宋体-GB2312"/>
                              <w:sz w:val="24"/>
                              <w:szCs w:val="24"/>
                            </w:rPr>
                            <w:t>- 2 -</w:t>
                          </w:r>
                          <w:r>
                            <w:rPr>
                              <w:rFonts w:hint="eastAsia" w:ascii="CESI宋体-GB2312" w:hAnsi="CESI宋体-GB2312" w:eastAsia="CESI宋体-GB2312" w:cs="CESI宋体-GB2312"/>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rPr>
                        <w:rFonts w:asciiTheme="minorEastAsia" w:hAnsiTheme="minorEastAsia"/>
                        <w:sz w:val="28"/>
                        <w:szCs w:val="28"/>
                      </w:rPr>
                    </w:pPr>
                    <w:r>
                      <w:rPr>
                        <w:rFonts w:hint="eastAsia" w:ascii="CESI宋体-GB2312" w:hAnsi="CESI宋体-GB2312" w:eastAsia="CESI宋体-GB2312" w:cs="CESI宋体-GB2312"/>
                        <w:sz w:val="24"/>
                        <w:szCs w:val="24"/>
                      </w:rPr>
                      <w:fldChar w:fldCharType="begin"/>
                    </w:r>
                    <w:r>
                      <w:rPr>
                        <w:rFonts w:hint="eastAsia" w:ascii="CESI宋体-GB2312" w:hAnsi="CESI宋体-GB2312" w:eastAsia="CESI宋体-GB2312" w:cs="CESI宋体-GB2312"/>
                        <w:sz w:val="24"/>
                        <w:szCs w:val="24"/>
                      </w:rPr>
                      <w:instrText xml:space="preserve"> PAGE  \* MERGEFORMAT </w:instrText>
                    </w:r>
                    <w:r>
                      <w:rPr>
                        <w:rFonts w:hint="eastAsia" w:ascii="CESI宋体-GB2312" w:hAnsi="CESI宋体-GB2312" w:eastAsia="CESI宋体-GB2312" w:cs="CESI宋体-GB2312"/>
                        <w:sz w:val="24"/>
                        <w:szCs w:val="24"/>
                      </w:rPr>
                      <w:fldChar w:fldCharType="separate"/>
                    </w:r>
                    <w:r>
                      <w:rPr>
                        <w:rFonts w:ascii="CESI宋体-GB2312" w:hAnsi="CESI宋体-GB2312" w:eastAsia="CESI宋体-GB2312" w:cs="CESI宋体-GB2312"/>
                        <w:sz w:val="24"/>
                        <w:szCs w:val="24"/>
                      </w:rPr>
                      <w:t>- 2 -</w:t>
                    </w:r>
                    <w:r>
                      <w:rPr>
                        <w:rFonts w:hint="eastAsia" w:ascii="CESI宋体-GB2312" w:hAnsi="CESI宋体-GB2312" w:eastAsia="CESI宋体-GB2312" w:cs="CESI宋体-GB2312"/>
                        <w:sz w:val="24"/>
                        <w:szCs w:val="24"/>
                      </w:rP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5E1"/>
    <w:rsid w:val="00001367"/>
    <w:rsid w:val="000024B5"/>
    <w:rsid w:val="000057FF"/>
    <w:rsid w:val="00005CD7"/>
    <w:rsid w:val="000066A8"/>
    <w:rsid w:val="00006DCF"/>
    <w:rsid w:val="00010B7F"/>
    <w:rsid w:val="00011712"/>
    <w:rsid w:val="00011CDF"/>
    <w:rsid w:val="000123E8"/>
    <w:rsid w:val="00015190"/>
    <w:rsid w:val="0002042B"/>
    <w:rsid w:val="00022AED"/>
    <w:rsid w:val="000246D8"/>
    <w:rsid w:val="00024DD0"/>
    <w:rsid w:val="000254E9"/>
    <w:rsid w:val="00025758"/>
    <w:rsid w:val="000335B5"/>
    <w:rsid w:val="0003462A"/>
    <w:rsid w:val="000375C3"/>
    <w:rsid w:val="000407AB"/>
    <w:rsid w:val="00041466"/>
    <w:rsid w:val="000423D7"/>
    <w:rsid w:val="00044EDD"/>
    <w:rsid w:val="00045EC5"/>
    <w:rsid w:val="00046F48"/>
    <w:rsid w:val="00050646"/>
    <w:rsid w:val="00052C67"/>
    <w:rsid w:val="00053D13"/>
    <w:rsid w:val="0005410C"/>
    <w:rsid w:val="000541D3"/>
    <w:rsid w:val="00055A3C"/>
    <w:rsid w:val="00056F9E"/>
    <w:rsid w:val="000600F3"/>
    <w:rsid w:val="000604A8"/>
    <w:rsid w:val="000626ED"/>
    <w:rsid w:val="0006477C"/>
    <w:rsid w:val="00066E6D"/>
    <w:rsid w:val="00067800"/>
    <w:rsid w:val="00067933"/>
    <w:rsid w:val="00070F43"/>
    <w:rsid w:val="00071171"/>
    <w:rsid w:val="00073752"/>
    <w:rsid w:val="00076EC8"/>
    <w:rsid w:val="000822FE"/>
    <w:rsid w:val="000823A7"/>
    <w:rsid w:val="000878D3"/>
    <w:rsid w:val="00090C44"/>
    <w:rsid w:val="0009156F"/>
    <w:rsid w:val="00094613"/>
    <w:rsid w:val="000948DA"/>
    <w:rsid w:val="000A076B"/>
    <w:rsid w:val="000A2CF6"/>
    <w:rsid w:val="000A41E8"/>
    <w:rsid w:val="000A6C8C"/>
    <w:rsid w:val="000A6D8F"/>
    <w:rsid w:val="000A76C4"/>
    <w:rsid w:val="000A7871"/>
    <w:rsid w:val="000B3205"/>
    <w:rsid w:val="000B3AD6"/>
    <w:rsid w:val="000B77D5"/>
    <w:rsid w:val="000C2060"/>
    <w:rsid w:val="000C7438"/>
    <w:rsid w:val="000C784A"/>
    <w:rsid w:val="000C7C81"/>
    <w:rsid w:val="000D007A"/>
    <w:rsid w:val="000D1483"/>
    <w:rsid w:val="000D410B"/>
    <w:rsid w:val="000D5299"/>
    <w:rsid w:val="000D7CAB"/>
    <w:rsid w:val="000E1367"/>
    <w:rsid w:val="000E300B"/>
    <w:rsid w:val="000F34E6"/>
    <w:rsid w:val="000F37A3"/>
    <w:rsid w:val="000F39CE"/>
    <w:rsid w:val="000F5791"/>
    <w:rsid w:val="000F61E4"/>
    <w:rsid w:val="00100C62"/>
    <w:rsid w:val="001031B3"/>
    <w:rsid w:val="001031F8"/>
    <w:rsid w:val="00103848"/>
    <w:rsid w:val="00107CF9"/>
    <w:rsid w:val="00112A05"/>
    <w:rsid w:val="001154D4"/>
    <w:rsid w:val="00116753"/>
    <w:rsid w:val="00117B8D"/>
    <w:rsid w:val="00117F2C"/>
    <w:rsid w:val="00123CEB"/>
    <w:rsid w:val="00126E22"/>
    <w:rsid w:val="00132A95"/>
    <w:rsid w:val="00135AA3"/>
    <w:rsid w:val="00137C7C"/>
    <w:rsid w:val="00137E80"/>
    <w:rsid w:val="00140289"/>
    <w:rsid w:val="001422C4"/>
    <w:rsid w:val="0015049A"/>
    <w:rsid w:val="00150BCD"/>
    <w:rsid w:val="00155652"/>
    <w:rsid w:val="0015571F"/>
    <w:rsid w:val="0015745F"/>
    <w:rsid w:val="001624D4"/>
    <w:rsid w:val="00164719"/>
    <w:rsid w:val="00164882"/>
    <w:rsid w:val="00165D66"/>
    <w:rsid w:val="00167217"/>
    <w:rsid w:val="00170B08"/>
    <w:rsid w:val="00172639"/>
    <w:rsid w:val="00174058"/>
    <w:rsid w:val="00174DB5"/>
    <w:rsid w:val="0018078F"/>
    <w:rsid w:val="00182308"/>
    <w:rsid w:val="001855F5"/>
    <w:rsid w:val="001903E3"/>
    <w:rsid w:val="00191662"/>
    <w:rsid w:val="00191C74"/>
    <w:rsid w:val="001925EB"/>
    <w:rsid w:val="0019318A"/>
    <w:rsid w:val="00193BC1"/>
    <w:rsid w:val="00196380"/>
    <w:rsid w:val="001A1457"/>
    <w:rsid w:val="001A2281"/>
    <w:rsid w:val="001A39CF"/>
    <w:rsid w:val="001A49CD"/>
    <w:rsid w:val="001B059F"/>
    <w:rsid w:val="001B0FED"/>
    <w:rsid w:val="001B3C21"/>
    <w:rsid w:val="001B3C8F"/>
    <w:rsid w:val="001B3CD2"/>
    <w:rsid w:val="001B5775"/>
    <w:rsid w:val="001B6D13"/>
    <w:rsid w:val="001B7BAF"/>
    <w:rsid w:val="001C0ECC"/>
    <w:rsid w:val="001C2DB4"/>
    <w:rsid w:val="001C3287"/>
    <w:rsid w:val="001C4989"/>
    <w:rsid w:val="001D2A3C"/>
    <w:rsid w:val="001D44E4"/>
    <w:rsid w:val="001E036B"/>
    <w:rsid w:val="001E3263"/>
    <w:rsid w:val="001E45BE"/>
    <w:rsid w:val="001E55E1"/>
    <w:rsid w:val="001E7DFA"/>
    <w:rsid w:val="001F06DE"/>
    <w:rsid w:val="001F2073"/>
    <w:rsid w:val="001F5BCB"/>
    <w:rsid w:val="001F6982"/>
    <w:rsid w:val="001F73E4"/>
    <w:rsid w:val="002031F0"/>
    <w:rsid w:val="00203C11"/>
    <w:rsid w:val="00204751"/>
    <w:rsid w:val="002061FD"/>
    <w:rsid w:val="00213197"/>
    <w:rsid w:val="00216F7C"/>
    <w:rsid w:val="002173C9"/>
    <w:rsid w:val="00224118"/>
    <w:rsid w:val="00226347"/>
    <w:rsid w:val="002265C1"/>
    <w:rsid w:val="0023180C"/>
    <w:rsid w:val="00231874"/>
    <w:rsid w:val="00235373"/>
    <w:rsid w:val="00235DA2"/>
    <w:rsid w:val="002367EE"/>
    <w:rsid w:val="00237156"/>
    <w:rsid w:val="002379EE"/>
    <w:rsid w:val="00241C26"/>
    <w:rsid w:val="002434E9"/>
    <w:rsid w:val="002444DA"/>
    <w:rsid w:val="002454B2"/>
    <w:rsid w:val="0025089E"/>
    <w:rsid w:val="002510F5"/>
    <w:rsid w:val="002536B6"/>
    <w:rsid w:val="00255836"/>
    <w:rsid w:val="00262BB7"/>
    <w:rsid w:val="00265112"/>
    <w:rsid w:val="00265322"/>
    <w:rsid w:val="00271AFC"/>
    <w:rsid w:val="00283DC5"/>
    <w:rsid w:val="002845AF"/>
    <w:rsid w:val="002853E0"/>
    <w:rsid w:val="00285ABE"/>
    <w:rsid w:val="00285E6E"/>
    <w:rsid w:val="00292031"/>
    <w:rsid w:val="00293CFA"/>
    <w:rsid w:val="00296F6D"/>
    <w:rsid w:val="002A1C00"/>
    <w:rsid w:val="002A4B12"/>
    <w:rsid w:val="002A6813"/>
    <w:rsid w:val="002A6F7D"/>
    <w:rsid w:val="002A7E0E"/>
    <w:rsid w:val="002B0EF2"/>
    <w:rsid w:val="002B5959"/>
    <w:rsid w:val="002B5D4D"/>
    <w:rsid w:val="002B7266"/>
    <w:rsid w:val="002C07E5"/>
    <w:rsid w:val="002C0D76"/>
    <w:rsid w:val="002C1EE1"/>
    <w:rsid w:val="002C2612"/>
    <w:rsid w:val="002C7B0E"/>
    <w:rsid w:val="002D0082"/>
    <w:rsid w:val="002D1F79"/>
    <w:rsid w:val="002D3640"/>
    <w:rsid w:val="002D4579"/>
    <w:rsid w:val="002D5BA0"/>
    <w:rsid w:val="002E28FF"/>
    <w:rsid w:val="002E6FD6"/>
    <w:rsid w:val="002F0C31"/>
    <w:rsid w:val="002F2596"/>
    <w:rsid w:val="002F3757"/>
    <w:rsid w:val="002F5117"/>
    <w:rsid w:val="002F550B"/>
    <w:rsid w:val="002F56EF"/>
    <w:rsid w:val="002F6003"/>
    <w:rsid w:val="00300DEF"/>
    <w:rsid w:val="003026F9"/>
    <w:rsid w:val="00303BD2"/>
    <w:rsid w:val="00305986"/>
    <w:rsid w:val="003068E2"/>
    <w:rsid w:val="00307B73"/>
    <w:rsid w:val="00310893"/>
    <w:rsid w:val="00311E61"/>
    <w:rsid w:val="0031793C"/>
    <w:rsid w:val="003239D8"/>
    <w:rsid w:val="00323C05"/>
    <w:rsid w:val="0032612D"/>
    <w:rsid w:val="00330851"/>
    <w:rsid w:val="003312A7"/>
    <w:rsid w:val="003335B2"/>
    <w:rsid w:val="00334A5B"/>
    <w:rsid w:val="00336621"/>
    <w:rsid w:val="0034045A"/>
    <w:rsid w:val="00342D53"/>
    <w:rsid w:val="00344276"/>
    <w:rsid w:val="0034592F"/>
    <w:rsid w:val="0034697E"/>
    <w:rsid w:val="003470B1"/>
    <w:rsid w:val="003471A6"/>
    <w:rsid w:val="00352FC8"/>
    <w:rsid w:val="0035322F"/>
    <w:rsid w:val="00353B35"/>
    <w:rsid w:val="00356195"/>
    <w:rsid w:val="00356838"/>
    <w:rsid w:val="00362641"/>
    <w:rsid w:val="00365960"/>
    <w:rsid w:val="00366C88"/>
    <w:rsid w:val="00366D5C"/>
    <w:rsid w:val="00370C30"/>
    <w:rsid w:val="003739ED"/>
    <w:rsid w:val="00373E5C"/>
    <w:rsid w:val="00376843"/>
    <w:rsid w:val="00376B07"/>
    <w:rsid w:val="00377BDD"/>
    <w:rsid w:val="00377C75"/>
    <w:rsid w:val="003805BD"/>
    <w:rsid w:val="00381FB8"/>
    <w:rsid w:val="0038202D"/>
    <w:rsid w:val="00384F0A"/>
    <w:rsid w:val="00385110"/>
    <w:rsid w:val="0038797B"/>
    <w:rsid w:val="0039089B"/>
    <w:rsid w:val="003928F4"/>
    <w:rsid w:val="00394356"/>
    <w:rsid w:val="0039467B"/>
    <w:rsid w:val="00397199"/>
    <w:rsid w:val="003972A2"/>
    <w:rsid w:val="00397B25"/>
    <w:rsid w:val="00397E8B"/>
    <w:rsid w:val="003A00E7"/>
    <w:rsid w:val="003A10EC"/>
    <w:rsid w:val="003A1B64"/>
    <w:rsid w:val="003A3091"/>
    <w:rsid w:val="003A340E"/>
    <w:rsid w:val="003A3E73"/>
    <w:rsid w:val="003A466C"/>
    <w:rsid w:val="003A4BB7"/>
    <w:rsid w:val="003A6F9E"/>
    <w:rsid w:val="003A75CB"/>
    <w:rsid w:val="003B0424"/>
    <w:rsid w:val="003B056A"/>
    <w:rsid w:val="003B09F4"/>
    <w:rsid w:val="003B29B2"/>
    <w:rsid w:val="003B3727"/>
    <w:rsid w:val="003B43CE"/>
    <w:rsid w:val="003B672F"/>
    <w:rsid w:val="003B68EE"/>
    <w:rsid w:val="003B71E6"/>
    <w:rsid w:val="003C3A93"/>
    <w:rsid w:val="003C534C"/>
    <w:rsid w:val="003C6AC0"/>
    <w:rsid w:val="003D120A"/>
    <w:rsid w:val="003E47D4"/>
    <w:rsid w:val="003E5DF7"/>
    <w:rsid w:val="003E5F28"/>
    <w:rsid w:val="003F0D37"/>
    <w:rsid w:val="003F2EBE"/>
    <w:rsid w:val="003F37A9"/>
    <w:rsid w:val="003F400C"/>
    <w:rsid w:val="003F49AE"/>
    <w:rsid w:val="00400E64"/>
    <w:rsid w:val="00403EB5"/>
    <w:rsid w:val="00404202"/>
    <w:rsid w:val="00404EF9"/>
    <w:rsid w:val="004066DB"/>
    <w:rsid w:val="00412942"/>
    <w:rsid w:val="0041349C"/>
    <w:rsid w:val="004134AB"/>
    <w:rsid w:val="00414FD7"/>
    <w:rsid w:val="00415E5E"/>
    <w:rsid w:val="00427397"/>
    <w:rsid w:val="0043017F"/>
    <w:rsid w:val="00433C16"/>
    <w:rsid w:val="0043566A"/>
    <w:rsid w:val="00435D3B"/>
    <w:rsid w:val="00440BAD"/>
    <w:rsid w:val="00440DBD"/>
    <w:rsid w:val="00443856"/>
    <w:rsid w:val="00445E76"/>
    <w:rsid w:val="00446714"/>
    <w:rsid w:val="004477A8"/>
    <w:rsid w:val="004517F7"/>
    <w:rsid w:val="0045268D"/>
    <w:rsid w:val="00453C2A"/>
    <w:rsid w:val="00453CA6"/>
    <w:rsid w:val="0045480B"/>
    <w:rsid w:val="00455612"/>
    <w:rsid w:val="004640F4"/>
    <w:rsid w:val="004646A7"/>
    <w:rsid w:val="00464D8B"/>
    <w:rsid w:val="004657E6"/>
    <w:rsid w:val="004660CC"/>
    <w:rsid w:val="0046729B"/>
    <w:rsid w:val="004756BC"/>
    <w:rsid w:val="00485363"/>
    <w:rsid w:val="0048541A"/>
    <w:rsid w:val="004933E4"/>
    <w:rsid w:val="00494AFF"/>
    <w:rsid w:val="004A1151"/>
    <w:rsid w:val="004A13B3"/>
    <w:rsid w:val="004A3795"/>
    <w:rsid w:val="004A4024"/>
    <w:rsid w:val="004A4390"/>
    <w:rsid w:val="004B5320"/>
    <w:rsid w:val="004B543B"/>
    <w:rsid w:val="004B6CFC"/>
    <w:rsid w:val="004B760E"/>
    <w:rsid w:val="004C1D3A"/>
    <w:rsid w:val="004C5113"/>
    <w:rsid w:val="004C618B"/>
    <w:rsid w:val="004D0392"/>
    <w:rsid w:val="004D3D02"/>
    <w:rsid w:val="004D4764"/>
    <w:rsid w:val="004D5921"/>
    <w:rsid w:val="004F216C"/>
    <w:rsid w:val="004F5FDA"/>
    <w:rsid w:val="004F64C9"/>
    <w:rsid w:val="004F6F56"/>
    <w:rsid w:val="00500030"/>
    <w:rsid w:val="00500A4F"/>
    <w:rsid w:val="005039D2"/>
    <w:rsid w:val="00504136"/>
    <w:rsid w:val="00505700"/>
    <w:rsid w:val="0050657B"/>
    <w:rsid w:val="00506937"/>
    <w:rsid w:val="00512B0C"/>
    <w:rsid w:val="00514168"/>
    <w:rsid w:val="005159B6"/>
    <w:rsid w:val="00515E1F"/>
    <w:rsid w:val="005168CF"/>
    <w:rsid w:val="0052018B"/>
    <w:rsid w:val="00520560"/>
    <w:rsid w:val="0052091E"/>
    <w:rsid w:val="00522454"/>
    <w:rsid w:val="00522813"/>
    <w:rsid w:val="00523CD4"/>
    <w:rsid w:val="005273E9"/>
    <w:rsid w:val="00527625"/>
    <w:rsid w:val="00530D57"/>
    <w:rsid w:val="0053223F"/>
    <w:rsid w:val="00532BE4"/>
    <w:rsid w:val="005344AC"/>
    <w:rsid w:val="00537E4E"/>
    <w:rsid w:val="00541835"/>
    <w:rsid w:val="005435DD"/>
    <w:rsid w:val="00555CA4"/>
    <w:rsid w:val="0056220E"/>
    <w:rsid w:val="00563EDE"/>
    <w:rsid w:val="005655C1"/>
    <w:rsid w:val="00565CC6"/>
    <w:rsid w:val="005663D4"/>
    <w:rsid w:val="00566664"/>
    <w:rsid w:val="00571651"/>
    <w:rsid w:val="00575596"/>
    <w:rsid w:val="005823A7"/>
    <w:rsid w:val="005872CE"/>
    <w:rsid w:val="00587E88"/>
    <w:rsid w:val="00590E45"/>
    <w:rsid w:val="005910BF"/>
    <w:rsid w:val="00593584"/>
    <w:rsid w:val="00594D6D"/>
    <w:rsid w:val="005A19BC"/>
    <w:rsid w:val="005A5064"/>
    <w:rsid w:val="005A53E6"/>
    <w:rsid w:val="005A589F"/>
    <w:rsid w:val="005B0AD0"/>
    <w:rsid w:val="005B3EE9"/>
    <w:rsid w:val="005B6E95"/>
    <w:rsid w:val="005B7682"/>
    <w:rsid w:val="005C0305"/>
    <w:rsid w:val="005C5932"/>
    <w:rsid w:val="005C69D9"/>
    <w:rsid w:val="005D091F"/>
    <w:rsid w:val="005D2469"/>
    <w:rsid w:val="005E0732"/>
    <w:rsid w:val="005E0AF2"/>
    <w:rsid w:val="005E5691"/>
    <w:rsid w:val="005E6907"/>
    <w:rsid w:val="005E75A6"/>
    <w:rsid w:val="005E7DB6"/>
    <w:rsid w:val="005F1843"/>
    <w:rsid w:val="005F1E16"/>
    <w:rsid w:val="005F38CA"/>
    <w:rsid w:val="0060255F"/>
    <w:rsid w:val="006050FD"/>
    <w:rsid w:val="006105FF"/>
    <w:rsid w:val="00612670"/>
    <w:rsid w:val="00613C7C"/>
    <w:rsid w:val="00616E78"/>
    <w:rsid w:val="00617490"/>
    <w:rsid w:val="006176EF"/>
    <w:rsid w:val="0061783D"/>
    <w:rsid w:val="0062134F"/>
    <w:rsid w:val="00622958"/>
    <w:rsid w:val="006244C2"/>
    <w:rsid w:val="00625F76"/>
    <w:rsid w:val="00627DCE"/>
    <w:rsid w:val="0063027B"/>
    <w:rsid w:val="006353CB"/>
    <w:rsid w:val="00640F0A"/>
    <w:rsid w:val="006423A9"/>
    <w:rsid w:val="00644458"/>
    <w:rsid w:val="00650321"/>
    <w:rsid w:val="006535F6"/>
    <w:rsid w:val="006562C1"/>
    <w:rsid w:val="00656373"/>
    <w:rsid w:val="006575A8"/>
    <w:rsid w:val="006614BF"/>
    <w:rsid w:val="006620B9"/>
    <w:rsid w:val="00663295"/>
    <w:rsid w:val="00664B71"/>
    <w:rsid w:val="0067034D"/>
    <w:rsid w:val="00672FC7"/>
    <w:rsid w:val="0067314D"/>
    <w:rsid w:val="00673BB2"/>
    <w:rsid w:val="00676817"/>
    <w:rsid w:val="00677F5A"/>
    <w:rsid w:val="00681A26"/>
    <w:rsid w:val="00691822"/>
    <w:rsid w:val="00692347"/>
    <w:rsid w:val="00692486"/>
    <w:rsid w:val="0069796E"/>
    <w:rsid w:val="006A0001"/>
    <w:rsid w:val="006A10EE"/>
    <w:rsid w:val="006A6DED"/>
    <w:rsid w:val="006A7B34"/>
    <w:rsid w:val="006B2D3D"/>
    <w:rsid w:val="006B4026"/>
    <w:rsid w:val="006B4ECC"/>
    <w:rsid w:val="006B782F"/>
    <w:rsid w:val="006C141B"/>
    <w:rsid w:val="006C521E"/>
    <w:rsid w:val="006C5496"/>
    <w:rsid w:val="006C6061"/>
    <w:rsid w:val="006D1C6C"/>
    <w:rsid w:val="006D1F32"/>
    <w:rsid w:val="006D4718"/>
    <w:rsid w:val="006D5B8A"/>
    <w:rsid w:val="006D647F"/>
    <w:rsid w:val="006E0EFF"/>
    <w:rsid w:val="006E2997"/>
    <w:rsid w:val="006E3BE6"/>
    <w:rsid w:val="006E5979"/>
    <w:rsid w:val="006E64F3"/>
    <w:rsid w:val="006F501C"/>
    <w:rsid w:val="006F525E"/>
    <w:rsid w:val="006F753A"/>
    <w:rsid w:val="0070227F"/>
    <w:rsid w:val="00705F1C"/>
    <w:rsid w:val="0070640A"/>
    <w:rsid w:val="007068BB"/>
    <w:rsid w:val="00716D5D"/>
    <w:rsid w:val="00720C96"/>
    <w:rsid w:val="00722E43"/>
    <w:rsid w:val="00726D64"/>
    <w:rsid w:val="00726DE5"/>
    <w:rsid w:val="00730711"/>
    <w:rsid w:val="00731D7F"/>
    <w:rsid w:val="00733339"/>
    <w:rsid w:val="0073446B"/>
    <w:rsid w:val="00734A4A"/>
    <w:rsid w:val="00735A57"/>
    <w:rsid w:val="007371BE"/>
    <w:rsid w:val="00741A8E"/>
    <w:rsid w:val="0074227F"/>
    <w:rsid w:val="00742A85"/>
    <w:rsid w:val="00743506"/>
    <w:rsid w:val="00743822"/>
    <w:rsid w:val="00744519"/>
    <w:rsid w:val="00744F67"/>
    <w:rsid w:val="007458E6"/>
    <w:rsid w:val="00746BAE"/>
    <w:rsid w:val="007508FE"/>
    <w:rsid w:val="00751864"/>
    <w:rsid w:val="007550BD"/>
    <w:rsid w:val="00755215"/>
    <w:rsid w:val="007639A8"/>
    <w:rsid w:val="00763F79"/>
    <w:rsid w:val="007704F8"/>
    <w:rsid w:val="00776EB5"/>
    <w:rsid w:val="0078180E"/>
    <w:rsid w:val="0078238A"/>
    <w:rsid w:val="00790CAF"/>
    <w:rsid w:val="007917EE"/>
    <w:rsid w:val="00792975"/>
    <w:rsid w:val="007947A3"/>
    <w:rsid w:val="00794803"/>
    <w:rsid w:val="007963D9"/>
    <w:rsid w:val="007A05FC"/>
    <w:rsid w:val="007A33B3"/>
    <w:rsid w:val="007A642B"/>
    <w:rsid w:val="007A6B22"/>
    <w:rsid w:val="007B0AF0"/>
    <w:rsid w:val="007B2CFE"/>
    <w:rsid w:val="007B6DC7"/>
    <w:rsid w:val="007B7466"/>
    <w:rsid w:val="007C0C11"/>
    <w:rsid w:val="007C2105"/>
    <w:rsid w:val="007C34FF"/>
    <w:rsid w:val="007C4E8D"/>
    <w:rsid w:val="007C59DE"/>
    <w:rsid w:val="007C62BA"/>
    <w:rsid w:val="007C7C9F"/>
    <w:rsid w:val="007D5E61"/>
    <w:rsid w:val="007D6638"/>
    <w:rsid w:val="007D6850"/>
    <w:rsid w:val="007E101D"/>
    <w:rsid w:val="007E3F27"/>
    <w:rsid w:val="007E3F62"/>
    <w:rsid w:val="007E6D61"/>
    <w:rsid w:val="007F0F4F"/>
    <w:rsid w:val="007F2AB7"/>
    <w:rsid w:val="007F4799"/>
    <w:rsid w:val="007F5DAC"/>
    <w:rsid w:val="007F6A51"/>
    <w:rsid w:val="007F79D6"/>
    <w:rsid w:val="008077BB"/>
    <w:rsid w:val="008119EE"/>
    <w:rsid w:val="00812CBF"/>
    <w:rsid w:val="00813595"/>
    <w:rsid w:val="00820EEE"/>
    <w:rsid w:val="00820F0A"/>
    <w:rsid w:val="00825DBE"/>
    <w:rsid w:val="0082627D"/>
    <w:rsid w:val="0082639D"/>
    <w:rsid w:val="00827F46"/>
    <w:rsid w:val="00830EC5"/>
    <w:rsid w:val="00832872"/>
    <w:rsid w:val="00833255"/>
    <w:rsid w:val="00833E09"/>
    <w:rsid w:val="0083458B"/>
    <w:rsid w:val="00835291"/>
    <w:rsid w:val="00837B84"/>
    <w:rsid w:val="0084085E"/>
    <w:rsid w:val="00842BF2"/>
    <w:rsid w:val="00846ADD"/>
    <w:rsid w:val="00852684"/>
    <w:rsid w:val="00852E0A"/>
    <w:rsid w:val="008555B7"/>
    <w:rsid w:val="008575B6"/>
    <w:rsid w:val="008608D5"/>
    <w:rsid w:val="00863703"/>
    <w:rsid w:val="00863E2E"/>
    <w:rsid w:val="00863EF0"/>
    <w:rsid w:val="00863EF6"/>
    <w:rsid w:val="008667EA"/>
    <w:rsid w:val="00867033"/>
    <w:rsid w:val="00867090"/>
    <w:rsid w:val="00867280"/>
    <w:rsid w:val="00870AD6"/>
    <w:rsid w:val="00871CA3"/>
    <w:rsid w:val="0087236B"/>
    <w:rsid w:val="00873348"/>
    <w:rsid w:val="00874DB3"/>
    <w:rsid w:val="0087512E"/>
    <w:rsid w:val="00876BF6"/>
    <w:rsid w:val="00881F1A"/>
    <w:rsid w:val="00882C31"/>
    <w:rsid w:val="00883D72"/>
    <w:rsid w:val="008957BC"/>
    <w:rsid w:val="008A1FF4"/>
    <w:rsid w:val="008A316D"/>
    <w:rsid w:val="008A37C0"/>
    <w:rsid w:val="008A580E"/>
    <w:rsid w:val="008A5B5E"/>
    <w:rsid w:val="008A667E"/>
    <w:rsid w:val="008A7199"/>
    <w:rsid w:val="008B12D3"/>
    <w:rsid w:val="008B2BB0"/>
    <w:rsid w:val="008B374B"/>
    <w:rsid w:val="008B3A47"/>
    <w:rsid w:val="008B6B32"/>
    <w:rsid w:val="008B7413"/>
    <w:rsid w:val="008B76C9"/>
    <w:rsid w:val="008C2625"/>
    <w:rsid w:val="008C6B3A"/>
    <w:rsid w:val="008C6C9A"/>
    <w:rsid w:val="008C6DC9"/>
    <w:rsid w:val="008D167A"/>
    <w:rsid w:val="008D3948"/>
    <w:rsid w:val="008E0507"/>
    <w:rsid w:val="008E1774"/>
    <w:rsid w:val="008E60DB"/>
    <w:rsid w:val="008E630C"/>
    <w:rsid w:val="008F0FB5"/>
    <w:rsid w:val="008F2B1D"/>
    <w:rsid w:val="008F43A7"/>
    <w:rsid w:val="008F4ACA"/>
    <w:rsid w:val="008F6433"/>
    <w:rsid w:val="00902C93"/>
    <w:rsid w:val="00903854"/>
    <w:rsid w:val="00904D94"/>
    <w:rsid w:val="00914FE6"/>
    <w:rsid w:val="009156E5"/>
    <w:rsid w:val="009165FC"/>
    <w:rsid w:val="00921010"/>
    <w:rsid w:val="009233EB"/>
    <w:rsid w:val="0092474A"/>
    <w:rsid w:val="00931456"/>
    <w:rsid w:val="00932884"/>
    <w:rsid w:val="00933108"/>
    <w:rsid w:val="0093424D"/>
    <w:rsid w:val="0093597E"/>
    <w:rsid w:val="0094083E"/>
    <w:rsid w:val="0094259B"/>
    <w:rsid w:val="00943FE5"/>
    <w:rsid w:val="00945DE6"/>
    <w:rsid w:val="009463F6"/>
    <w:rsid w:val="00947671"/>
    <w:rsid w:val="00952902"/>
    <w:rsid w:val="00954221"/>
    <w:rsid w:val="009547DC"/>
    <w:rsid w:val="00954F13"/>
    <w:rsid w:val="00955CEC"/>
    <w:rsid w:val="00957C3D"/>
    <w:rsid w:val="00957DB7"/>
    <w:rsid w:val="00960AAE"/>
    <w:rsid w:val="00961006"/>
    <w:rsid w:val="00964794"/>
    <w:rsid w:val="00964BFA"/>
    <w:rsid w:val="00965985"/>
    <w:rsid w:val="009708C5"/>
    <w:rsid w:val="00971237"/>
    <w:rsid w:val="00972401"/>
    <w:rsid w:val="00972C77"/>
    <w:rsid w:val="009740BD"/>
    <w:rsid w:val="00975B35"/>
    <w:rsid w:val="00976454"/>
    <w:rsid w:val="00982A44"/>
    <w:rsid w:val="00984ABD"/>
    <w:rsid w:val="009858F1"/>
    <w:rsid w:val="0098773D"/>
    <w:rsid w:val="00987773"/>
    <w:rsid w:val="00991487"/>
    <w:rsid w:val="00991B72"/>
    <w:rsid w:val="00993527"/>
    <w:rsid w:val="009944B8"/>
    <w:rsid w:val="00996670"/>
    <w:rsid w:val="009A1D50"/>
    <w:rsid w:val="009A210B"/>
    <w:rsid w:val="009A21F0"/>
    <w:rsid w:val="009A2F0A"/>
    <w:rsid w:val="009A342A"/>
    <w:rsid w:val="009A3E4C"/>
    <w:rsid w:val="009A55C5"/>
    <w:rsid w:val="009A76FD"/>
    <w:rsid w:val="009B1039"/>
    <w:rsid w:val="009B339F"/>
    <w:rsid w:val="009B3720"/>
    <w:rsid w:val="009B488C"/>
    <w:rsid w:val="009B52A1"/>
    <w:rsid w:val="009B5739"/>
    <w:rsid w:val="009B574D"/>
    <w:rsid w:val="009C018B"/>
    <w:rsid w:val="009C305F"/>
    <w:rsid w:val="009C4B68"/>
    <w:rsid w:val="009C5CF3"/>
    <w:rsid w:val="009D379C"/>
    <w:rsid w:val="009D54A3"/>
    <w:rsid w:val="009D797E"/>
    <w:rsid w:val="009E1169"/>
    <w:rsid w:val="009E21C0"/>
    <w:rsid w:val="009E45D2"/>
    <w:rsid w:val="009E79F4"/>
    <w:rsid w:val="009E7CB9"/>
    <w:rsid w:val="009F153A"/>
    <w:rsid w:val="009F431D"/>
    <w:rsid w:val="009F4D0E"/>
    <w:rsid w:val="00A00570"/>
    <w:rsid w:val="00A00642"/>
    <w:rsid w:val="00A00C95"/>
    <w:rsid w:val="00A01685"/>
    <w:rsid w:val="00A02D2C"/>
    <w:rsid w:val="00A10271"/>
    <w:rsid w:val="00A13283"/>
    <w:rsid w:val="00A1379D"/>
    <w:rsid w:val="00A1441C"/>
    <w:rsid w:val="00A1646F"/>
    <w:rsid w:val="00A1758E"/>
    <w:rsid w:val="00A17CE3"/>
    <w:rsid w:val="00A24025"/>
    <w:rsid w:val="00A26801"/>
    <w:rsid w:val="00A26E09"/>
    <w:rsid w:val="00A278F2"/>
    <w:rsid w:val="00A3377F"/>
    <w:rsid w:val="00A35CFB"/>
    <w:rsid w:val="00A403C7"/>
    <w:rsid w:val="00A407D4"/>
    <w:rsid w:val="00A4308E"/>
    <w:rsid w:val="00A43BE5"/>
    <w:rsid w:val="00A43E5E"/>
    <w:rsid w:val="00A45055"/>
    <w:rsid w:val="00A4518C"/>
    <w:rsid w:val="00A5122C"/>
    <w:rsid w:val="00A52D1C"/>
    <w:rsid w:val="00A54362"/>
    <w:rsid w:val="00A549F8"/>
    <w:rsid w:val="00A60C2B"/>
    <w:rsid w:val="00A6132F"/>
    <w:rsid w:val="00A62EF4"/>
    <w:rsid w:val="00A631BB"/>
    <w:rsid w:val="00A63862"/>
    <w:rsid w:val="00A6394A"/>
    <w:rsid w:val="00A667EC"/>
    <w:rsid w:val="00A70621"/>
    <w:rsid w:val="00A71A91"/>
    <w:rsid w:val="00A720F9"/>
    <w:rsid w:val="00A74DA5"/>
    <w:rsid w:val="00A76B5E"/>
    <w:rsid w:val="00A77062"/>
    <w:rsid w:val="00A828BD"/>
    <w:rsid w:val="00A83769"/>
    <w:rsid w:val="00A85631"/>
    <w:rsid w:val="00A90559"/>
    <w:rsid w:val="00A91315"/>
    <w:rsid w:val="00A91FDF"/>
    <w:rsid w:val="00A938B6"/>
    <w:rsid w:val="00A93B5B"/>
    <w:rsid w:val="00A97FD3"/>
    <w:rsid w:val="00AA0F1A"/>
    <w:rsid w:val="00AA23F5"/>
    <w:rsid w:val="00AA24D5"/>
    <w:rsid w:val="00AA48BE"/>
    <w:rsid w:val="00AA536E"/>
    <w:rsid w:val="00AA66CF"/>
    <w:rsid w:val="00AB02F4"/>
    <w:rsid w:val="00AB360B"/>
    <w:rsid w:val="00AC12E6"/>
    <w:rsid w:val="00AC2783"/>
    <w:rsid w:val="00AC2F1F"/>
    <w:rsid w:val="00AC5C1C"/>
    <w:rsid w:val="00AC67DA"/>
    <w:rsid w:val="00AD127E"/>
    <w:rsid w:val="00AD3B49"/>
    <w:rsid w:val="00AD3BD1"/>
    <w:rsid w:val="00AD58F8"/>
    <w:rsid w:val="00AE10D5"/>
    <w:rsid w:val="00AE2336"/>
    <w:rsid w:val="00AE2D1C"/>
    <w:rsid w:val="00AE65FF"/>
    <w:rsid w:val="00AF21DD"/>
    <w:rsid w:val="00AF2A4C"/>
    <w:rsid w:val="00AF2B3F"/>
    <w:rsid w:val="00AF3259"/>
    <w:rsid w:val="00AF3AE2"/>
    <w:rsid w:val="00AF6CB7"/>
    <w:rsid w:val="00AF730D"/>
    <w:rsid w:val="00B01035"/>
    <w:rsid w:val="00B02428"/>
    <w:rsid w:val="00B04AC0"/>
    <w:rsid w:val="00B1332F"/>
    <w:rsid w:val="00B2085A"/>
    <w:rsid w:val="00B21EF9"/>
    <w:rsid w:val="00B22A4E"/>
    <w:rsid w:val="00B27D19"/>
    <w:rsid w:val="00B31773"/>
    <w:rsid w:val="00B35CFD"/>
    <w:rsid w:val="00B3663D"/>
    <w:rsid w:val="00B37150"/>
    <w:rsid w:val="00B41C39"/>
    <w:rsid w:val="00B4257D"/>
    <w:rsid w:val="00B443DE"/>
    <w:rsid w:val="00B4461F"/>
    <w:rsid w:val="00B44F58"/>
    <w:rsid w:val="00B455C3"/>
    <w:rsid w:val="00B46A8A"/>
    <w:rsid w:val="00B47DAD"/>
    <w:rsid w:val="00B54D71"/>
    <w:rsid w:val="00B54E8E"/>
    <w:rsid w:val="00B569C8"/>
    <w:rsid w:val="00B57333"/>
    <w:rsid w:val="00B614A0"/>
    <w:rsid w:val="00B64C9A"/>
    <w:rsid w:val="00B65D4F"/>
    <w:rsid w:val="00B666A0"/>
    <w:rsid w:val="00B669D3"/>
    <w:rsid w:val="00B7077D"/>
    <w:rsid w:val="00B715EF"/>
    <w:rsid w:val="00B72F8D"/>
    <w:rsid w:val="00B733CF"/>
    <w:rsid w:val="00B76DED"/>
    <w:rsid w:val="00B777DE"/>
    <w:rsid w:val="00B83AD0"/>
    <w:rsid w:val="00B83FAB"/>
    <w:rsid w:val="00B865F4"/>
    <w:rsid w:val="00B904BE"/>
    <w:rsid w:val="00B922E5"/>
    <w:rsid w:val="00B9358B"/>
    <w:rsid w:val="00B93A07"/>
    <w:rsid w:val="00B93C9C"/>
    <w:rsid w:val="00B946BB"/>
    <w:rsid w:val="00B95DBF"/>
    <w:rsid w:val="00B9636D"/>
    <w:rsid w:val="00B97B05"/>
    <w:rsid w:val="00BA0893"/>
    <w:rsid w:val="00BA1B7D"/>
    <w:rsid w:val="00BA2C06"/>
    <w:rsid w:val="00BA42F4"/>
    <w:rsid w:val="00BA57A4"/>
    <w:rsid w:val="00BA5D3B"/>
    <w:rsid w:val="00BB0F60"/>
    <w:rsid w:val="00BB1BD6"/>
    <w:rsid w:val="00BB290A"/>
    <w:rsid w:val="00BB39E6"/>
    <w:rsid w:val="00BB3EC7"/>
    <w:rsid w:val="00BB52FC"/>
    <w:rsid w:val="00BC2789"/>
    <w:rsid w:val="00BC5079"/>
    <w:rsid w:val="00BC608B"/>
    <w:rsid w:val="00BC625F"/>
    <w:rsid w:val="00BD1594"/>
    <w:rsid w:val="00BD548E"/>
    <w:rsid w:val="00BE5161"/>
    <w:rsid w:val="00BF0606"/>
    <w:rsid w:val="00BF07DE"/>
    <w:rsid w:val="00BF15A4"/>
    <w:rsid w:val="00BF3E4A"/>
    <w:rsid w:val="00C01409"/>
    <w:rsid w:val="00C014D6"/>
    <w:rsid w:val="00C037C7"/>
    <w:rsid w:val="00C03D76"/>
    <w:rsid w:val="00C04956"/>
    <w:rsid w:val="00C07370"/>
    <w:rsid w:val="00C0744B"/>
    <w:rsid w:val="00C128D5"/>
    <w:rsid w:val="00C14C8D"/>
    <w:rsid w:val="00C15AE5"/>
    <w:rsid w:val="00C163D6"/>
    <w:rsid w:val="00C220A2"/>
    <w:rsid w:val="00C22738"/>
    <w:rsid w:val="00C249F0"/>
    <w:rsid w:val="00C24BDA"/>
    <w:rsid w:val="00C25250"/>
    <w:rsid w:val="00C2594F"/>
    <w:rsid w:val="00C3048D"/>
    <w:rsid w:val="00C308FE"/>
    <w:rsid w:val="00C3170D"/>
    <w:rsid w:val="00C322BB"/>
    <w:rsid w:val="00C33ABD"/>
    <w:rsid w:val="00C34358"/>
    <w:rsid w:val="00C347B5"/>
    <w:rsid w:val="00C362C2"/>
    <w:rsid w:val="00C37FC9"/>
    <w:rsid w:val="00C400CE"/>
    <w:rsid w:val="00C43FDC"/>
    <w:rsid w:val="00C4468A"/>
    <w:rsid w:val="00C45FC1"/>
    <w:rsid w:val="00C468BE"/>
    <w:rsid w:val="00C47DCB"/>
    <w:rsid w:val="00C47E2E"/>
    <w:rsid w:val="00C618EA"/>
    <w:rsid w:val="00C632DE"/>
    <w:rsid w:val="00C63CA5"/>
    <w:rsid w:val="00C73F3B"/>
    <w:rsid w:val="00C771D0"/>
    <w:rsid w:val="00C8100D"/>
    <w:rsid w:val="00C819A0"/>
    <w:rsid w:val="00C82504"/>
    <w:rsid w:val="00C82794"/>
    <w:rsid w:val="00C83B3E"/>
    <w:rsid w:val="00C85A64"/>
    <w:rsid w:val="00C86161"/>
    <w:rsid w:val="00C87FBD"/>
    <w:rsid w:val="00C91918"/>
    <w:rsid w:val="00C92F82"/>
    <w:rsid w:val="00C9631D"/>
    <w:rsid w:val="00C964B9"/>
    <w:rsid w:val="00CB004A"/>
    <w:rsid w:val="00CB2DEF"/>
    <w:rsid w:val="00CB303F"/>
    <w:rsid w:val="00CB6B35"/>
    <w:rsid w:val="00CC1894"/>
    <w:rsid w:val="00CC257B"/>
    <w:rsid w:val="00CC3703"/>
    <w:rsid w:val="00CC4053"/>
    <w:rsid w:val="00CC764C"/>
    <w:rsid w:val="00CD186B"/>
    <w:rsid w:val="00CD35FF"/>
    <w:rsid w:val="00CD58BB"/>
    <w:rsid w:val="00CE098A"/>
    <w:rsid w:val="00CE0A11"/>
    <w:rsid w:val="00CE37D7"/>
    <w:rsid w:val="00CE521C"/>
    <w:rsid w:val="00CE666B"/>
    <w:rsid w:val="00CE6881"/>
    <w:rsid w:val="00CF1C57"/>
    <w:rsid w:val="00CF33CF"/>
    <w:rsid w:val="00CF3E62"/>
    <w:rsid w:val="00CF7CC7"/>
    <w:rsid w:val="00D0063D"/>
    <w:rsid w:val="00D00CEF"/>
    <w:rsid w:val="00D01B5E"/>
    <w:rsid w:val="00D02274"/>
    <w:rsid w:val="00D0358B"/>
    <w:rsid w:val="00D03867"/>
    <w:rsid w:val="00D048A7"/>
    <w:rsid w:val="00D0511B"/>
    <w:rsid w:val="00D05577"/>
    <w:rsid w:val="00D10BC1"/>
    <w:rsid w:val="00D13A39"/>
    <w:rsid w:val="00D2151D"/>
    <w:rsid w:val="00D23B86"/>
    <w:rsid w:val="00D27BB7"/>
    <w:rsid w:val="00D27D1C"/>
    <w:rsid w:val="00D30392"/>
    <w:rsid w:val="00D32F58"/>
    <w:rsid w:val="00D33A06"/>
    <w:rsid w:val="00D34E7C"/>
    <w:rsid w:val="00D352F7"/>
    <w:rsid w:val="00D364F1"/>
    <w:rsid w:val="00D366CD"/>
    <w:rsid w:val="00D40301"/>
    <w:rsid w:val="00D41E97"/>
    <w:rsid w:val="00D455E8"/>
    <w:rsid w:val="00D46D21"/>
    <w:rsid w:val="00D4757D"/>
    <w:rsid w:val="00D47CCB"/>
    <w:rsid w:val="00D501BC"/>
    <w:rsid w:val="00D5410B"/>
    <w:rsid w:val="00D56BFB"/>
    <w:rsid w:val="00D605D0"/>
    <w:rsid w:val="00D61814"/>
    <w:rsid w:val="00D63A55"/>
    <w:rsid w:val="00D63EA4"/>
    <w:rsid w:val="00D66643"/>
    <w:rsid w:val="00D67879"/>
    <w:rsid w:val="00D67C19"/>
    <w:rsid w:val="00D76E04"/>
    <w:rsid w:val="00D77E23"/>
    <w:rsid w:val="00D77F85"/>
    <w:rsid w:val="00D8157B"/>
    <w:rsid w:val="00D819DF"/>
    <w:rsid w:val="00D81A5B"/>
    <w:rsid w:val="00D82DCB"/>
    <w:rsid w:val="00D83572"/>
    <w:rsid w:val="00D83BBA"/>
    <w:rsid w:val="00D863AC"/>
    <w:rsid w:val="00D87859"/>
    <w:rsid w:val="00D900BA"/>
    <w:rsid w:val="00D90DBC"/>
    <w:rsid w:val="00D92517"/>
    <w:rsid w:val="00D92728"/>
    <w:rsid w:val="00D93D9C"/>
    <w:rsid w:val="00D96C2F"/>
    <w:rsid w:val="00DA1265"/>
    <w:rsid w:val="00DA17AD"/>
    <w:rsid w:val="00DA2A82"/>
    <w:rsid w:val="00DB0B14"/>
    <w:rsid w:val="00DB3D4B"/>
    <w:rsid w:val="00DB49A9"/>
    <w:rsid w:val="00DB56D9"/>
    <w:rsid w:val="00DB73DF"/>
    <w:rsid w:val="00DC05F7"/>
    <w:rsid w:val="00DC5C18"/>
    <w:rsid w:val="00DC6276"/>
    <w:rsid w:val="00DD06DC"/>
    <w:rsid w:val="00DD0D27"/>
    <w:rsid w:val="00DD5B62"/>
    <w:rsid w:val="00DE0D5E"/>
    <w:rsid w:val="00DE13C3"/>
    <w:rsid w:val="00DE31AA"/>
    <w:rsid w:val="00DE786F"/>
    <w:rsid w:val="00DE7CB4"/>
    <w:rsid w:val="00DF6CF7"/>
    <w:rsid w:val="00E01E38"/>
    <w:rsid w:val="00E02553"/>
    <w:rsid w:val="00E0513E"/>
    <w:rsid w:val="00E06288"/>
    <w:rsid w:val="00E06D98"/>
    <w:rsid w:val="00E07013"/>
    <w:rsid w:val="00E10B9C"/>
    <w:rsid w:val="00E11E02"/>
    <w:rsid w:val="00E12DF2"/>
    <w:rsid w:val="00E1310F"/>
    <w:rsid w:val="00E13C56"/>
    <w:rsid w:val="00E16A96"/>
    <w:rsid w:val="00E173DC"/>
    <w:rsid w:val="00E249BB"/>
    <w:rsid w:val="00E26C7F"/>
    <w:rsid w:val="00E27CCA"/>
    <w:rsid w:val="00E30A2E"/>
    <w:rsid w:val="00E3242D"/>
    <w:rsid w:val="00E32916"/>
    <w:rsid w:val="00E35016"/>
    <w:rsid w:val="00E37CC1"/>
    <w:rsid w:val="00E43813"/>
    <w:rsid w:val="00E442A5"/>
    <w:rsid w:val="00E478AB"/>
    <w:rsid w:val="00E527CF"/>
    <w:rsid w:val="00E52CBE"/>
    <w:rsid w:val="00E6040B"/>
    <w:rsid w:val="00E62B44"/>
    <w:rsid w:val="00E6394A"/>
    <w:rsid w:val="00E63D4F"/>
    <w:rsid w:val="00E643A4"/>
    <w:rsid w:val="00E65C65"/>
    <w:rsid w:val="00E65D3D"/>
    <w:rsid w:val="00E72D01"/>
    <w:rsid w:val="00E76390"/>
    <w:rsid w:val="00E77CE3"/>
    <w:rsid w:val="00E87863"/>
    <w:rsid w:val="00E87B9E"/>
    <w:rsid w:val="00E87FFD"/>
    <w:rsid w:val="00E90CB6"/>
    <w:rsid w:val="00E91254"/>
    <w:rsid w:val="00E92510"/>
    <w:rsid w:val="00E9416F"/>
    <w:rsid w:val="00E95ABF"/>
    <w:rsid w:val="00E968C5"/>
    <w:rsid w:val="00E96E08"/>
    <w:rsid w:val="00EA074E"/>
    <w:rsid w:val="00EA2D50"/>
    <w:rsid w:val="00EA3368"/>
    <w:rsid w:val="00EA5C48"/>
    <w:rsid w:val="00EA624F"/>
    <w:rsid w:val="00EA688D"/>
    <w:rsid w:val="00EA772F"/>
    <w:rsid w:val="00EA79DD"/>
    <w:rsid w:val="00EB2024"/>
    <w:rsid w:val="00EB304F"/>
    <w:rsid w:val="00EB4AFD"/>
    <w:rsid w:val="00EB4F87"/>
    <w:rsid w:val="00EC0A59"/>
    <w:rsid w:val="00EC44CF"/>
    <w:rsid w:val="00EC58A3"/>
    <w:rsid w:val="00EC6221"/>
    <w:rsid w:val="00EC78C0"/>
    <w:rsid w:val="00EC7E69"/>
    <w:rsid w:val="00ED222E"/>
    <w:rsid w:val="00ED31F1"/>
    <w:rsid w:val="00ED367D"/>
    <w:rsid w:val="00ED4F7D"/>
    <w:rsid w:val="00ED5F99"/>
    <w:rsid w:val="00ED7741"/>
    <w:rsid w:val="00EE08AF"/>
    <w:rsid w:val="00EE1161"/>
    <w:rsid w:val="00EE64EB"/>
    <w:rsid w:val="00EE6C38"/>
    <w:rsid w:val="00EE7281"/>
    <w:rsid w:val="00EE73CA"/>
    <w:rsid w:val="00EF1A60"/>
    <w:rsid w:val="00EF325F"/>
    <w:rsid w:val="00EF3765"/>
    <w:rsid w:val="00EF386F"/>
    <w:rsid w:val="00F00462"/>
    <w:rsid w:val="00F007C3"/>
    <w:rsid w:val="00F02CBB"/>
    <w:rsid w:val="00F04575"/>
    <w:rsid w:val="00F054E5"/>
    <w:rsid w:val="00F06D5F"/>
    <w:rsid w:val="00F07C06"/>
    <w:rsid w:val="00F12811"/>
    <w:rsid w:val="00F12957"/>
    <w:rsid w:val="00F133E0"/>
    <w:rsid w:val="00F20780"/>
    <w:rsid w:val="00F226B7"/>
    <w:rsid w:val="00F23B5B"/>
    <w:rsid w:val="00F23DEF"/>
    <w:rsid w:val="00F24D44"/>
    <w:rsid w:val="00F30E88"/>
    <w:rsid w:val="00F3185D"/>
    <w:rsid w:val="00F31E89"/>
    <w:rsid w:val="00F32080"/>
    <w:rsid w:val="00F32D96"/>
    <w:rsid w:val="00F352D9"/>
    <w:rsid w:val="00F41DB0"/>
    <w:rsid w:val="00F4285E"/>
    <w:rsid w:val="00F444E5"/>
    <w:rsid w:val="00F4586D"/>
    <w:rsid w:val="00F45E42"/>
    <w:rsid w:val="00F53724"/>
    <w:rsid w:val="00F543FB"/>
    <w:rsid w:val="00F57758"/>
    <w:rsid w:val="00F60F41"/>
    <w:rsid w:val="00F61182"/>
    <w:rsid w:val="00F62C0B"/>
    <w:rsid w:val="00F646CD"/>
    <w:rsid w:val="00F7073B"/>
    <w:rsid w:val="00F7092A"/>
    <w:rsid w:val="00F70AD7"/>
    <w:rsid w:val="00F730D0"/>
    <w:rsid w:val="00F7383B"/>
    <w:rsid w:val="00F73C91"/>
    <w:rsid w:val="00F768BD"/>
    <w:rsid w:val="00F77057"/>
    <w:rsid w:val="00F77695"/>
    <w:rsid w:val="00F828CE"/>
    <w:rsid w:val="00F8449B"/>
    <w:rsid w:val="00F8613B"/>
    <w:rsid w:val="00F86324"/>
    <w:rsid w:val="00F86E50"/>
    <w:rsid w:val="00F924A9"/>
    <w:rsid w:val="00F940D8"/>
    <w:rsid w:val="00F97475"/>
    <w:rsid w:val="00FA069F"/>
    <w:rsid w:val="00FA3555"/>
    <w:rsid w:val="00FA35CD"/>
    <w:rsid w:val="00FA36C3"/>
    <w:rsid w:val="00FB1F7D"/>
    <w:rsid w:val="00FB47A2"/>
    <w:rsid w:val="00FB5A61"/>
    <w:rsid w:val="00FB639C"/>
    <w:rsid w:val="00FC0690"/>
    <w:rsid w:val="00FC0999"/>
    <w:rsid w:val="00FC1CA8"/>
    <w:rsid w:val="00FC3C9D"/>
    <w:rsid w:val="00FC3ECB"/>
    <w:rsid w:val="00FC489E"/>
    <w:rsid w:val="00FC60F5"/>
    <w:rsid w:val="00FC6290"/>
    <w:rsid w:val="00FC786E"/>
    <w:rsid w:val="00FD04BD"/>
    <w:rsid w:val="00FD1DBA"/>
    <w:rsid w:val="00FD21B8"/>
    <w:rsid w:val="00FD382E"/>
    <w:rsid w:val="00FD6AF2"/>
    <w:rsid w:val="00FD7D35"/>
    <w:rsid w:val="00FE225D"/>
    <w:rsid w:val="00FE244A"/>
    <w:rsid w:val="00FE486B"/>
    <w:rsid w:val="00FE4D87"/>
    <w:rsid w:val="00FE5118"/>
    <w:rsid w:val="00FE6EEF"/>
    <w:rsid w:val="00FE792F"/>
    <w:rsid w:val="00FF0571"/>
    <w:rsid w:val="00FF42B1"/>
    <w:rsid w:val="00FF5C5A"/>
    <w:rsid w:val="00FF6EE0"/>
    <w:rsid w:val="00FF7D83"/>
    <w:rsid w:val="1BE69E30"/>
    <w:rsid w:val="2FDE227D"/>
    <w:rsid w:val="3DF7E536"/>
    <w:rsid w:val="3EFE4F7A"/>
    <w:rsid w:val="44BC3D97"/>
    <w:rsid w:val="55FBE7FF"/>
    <w:rsid w:val="58FF1257"/>
    <w:rsid w:val="6B0427C9"/>
    <w:rsid w:val="775BB708"/>
    <w:rsid w:val="77BC5540"/>
    <w:rsid w:val="7BBB410D"/>
    <w:rsid w:val="7C53D233"/>
    <w:rsid w:val="7DE78C3D"/>
    <w:rsid w:val="7EDCF762"/>
    <w:rsid w:val="7EFFE5F1"/>
    <w:rsid w:val="7FFF8A6F"/>
    <w:rsid w:val="AC77521A"/>
    <w:rsid w:val="AFE38792"/>
    <w:rsid w:val="BA7B23C6"/>
    <w:rsid w:val="BD9FE7F8"/>
    <w:rsid w:val="BEA3F5DE"/>
    <w:rsid w:val="CFD19268"/>
    <w:rsid w:val="D2EF29B9"/>
    <w:rsid w:val="D5FC5B5C"/>
    <w:rsid w:val="D6FB85CD"/>
    <w:rsid w:val="DAB78BC6"/>
    <w:rsid w:val="DBF77E82"/>
    <w:rsid w:val="E4FDC7EB"/>
    <w:rsid w:val="F8EE1AA4"/>
    <w:rsid w:val="FBFA45E4"/>
    <w:rsid w:val="FDCF7A10"/>
    <w:rsid w:val="FFA818F1"/>
    <w:rsid w:val="FFE389C6"/>
    <w:rsid w:val="FFF41CF5"/>
    <w:rsid w:val="FFF75F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qFormat/>
    <w:uiPriority w:val="0"/>
    <w:pPr>
      <w:ind w:left="1050" w:hanging="210"/>
      <w:jc w:val="left"/>
    </w:pPr>
    <w:rPr>
      <w:rFonts w:ascii="Calibri" w:hAnsi="Calibri" w:eastAsia="宋体" w:cs="Times New Roman"/>
      <w:sz w:val="20"/>
      <w:szCs w:val="20"/>
    </w:rPr>
  </w:style>
  <w:style w:type="paragraph" w:styleId="5">
    <w:name w:val="toc 3"/>
    <w:basedOn w:val="1"/>
    <w:next w:val="1"/>
    <w:unhideWhenUsed/>
    <w:qFormat/>
    <w:uiPriority w:val="39"/>
    <w:pPr>
      <w:ind w:left="840" w:leftChars="400"/>
    </w:pPr>
    <w:rPr>
      <w:rFonts w:ascii="Calibri" w:hAnsi="Calibri" w:eastAsia="宋体" w:cs="Times New Roman"/>
      <w:sz w:val="24"/>
    </w:rPr>
  </w:style>
  <w:style w:type="paragraph" w:styleId="6">
    <w:name w:val="Date"/>
    <w:basedOn w:val="1"/>
    <w:next w:val="1"/>
    <w:link w:val="30"/>
    <w:semiHidden/>
    <w:unhideWhenUsed/>
    <w:qFormat/>
    <w:uiPriority w:val="99"/>
    <w:pPr>
      <w:ind w:left="100" w:leftChars="25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rPr>
      <w:rFonts w:ascii="Calibri" w:hAnsi="Calibri" w:eastAsia="宋体" w:cs="Times New Roman"/>
      <w:sz w:val="24"/>
    </w:rPr>
  </w:style>
  <w:style w:type="paragraph" w:styleId="11">
    <w:name w:val="toc 2"/>
    <w:basedOn w:val="1"/>
    <w:next w:val="1"/>
    <w:unhideWhenUsed/>
    <w:qFormat/>
    <w:uiPriority w:val="39"/>
    <w:pPr>
      <w:ind w:left="420" w:leftChars="200"/>
    </w:pPr>
    <w:rPr>
      <w:rFonts w:ascii="Calibri" w:hAnsi="Calibri" w:eastAsia="宋体" w:cs="Times New Roman"/>
      <w:sz w:val="24"/>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u w:val="single"/>
    </w:rPr>
  </w:style>
  <w:style w:type="character" w:customStyle="1" w:styleId="17">
    <w:name w:val="页眉 字符"/>
    <w:basedOn w:val="15"/>
    <w:link w:val="9"/>
    <w:qFormat/>
    <w:uiPriority w:val="99"/>
    <w:rPr>
      <w:sz w:val="18"/>
      <w:szCs w:val="18"/>
    </w:rPr>
  </w:style>
  <w:style w:type="character" w:customStyle="1" w:styleId="18">
    <w:name w:val="页脚 字符"/>
    <w:basedOn w:val="15"/>
    <w:link w:val="8"/>
    <w:qFormat/>
    <w:uiPriority w:val="99"/>
    <w:rPr>
      <w:sz w:val="18"/>
      <w:szCs w:val="18"/>
    </w:rPr>
  </w:style>
  <w:style w:type="paragraph" w:customStyle="1" w:styleId="19">
    <w:name w:val="正文 A"/>
    <w:qFormat/>
    <w:uiPriority w:val="0"/>
    <w:pPr>
      <w:widowControl w:val="0"/>
      <w:jc w:val="both"/>
    </w:pPr>
    <w:rPr>
      <w:rFonts w:ascii="Calibri" w:hAnsi="Calibri" w:eastAsia="Calibri" w:cs="Calibri"/>
      <w:color w:val="000000"/>
      <w:kern w:val="2"/>
      <w:sz w:val="21"/>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框文本 字符"/>
    <w:basedOn w:val="15"/>
    <w:link w:val="7"/>
    <w:semiHidden/>
    <w:qFormat/>
    <w:uiPriority w:val="99"/>
    <w:rPr>
      <w:sz w:val="18"/>
      <w:szCs w:val="18"/>
    </w:rPr>
  </w:style>
  <w:style w:type="paragraph" w:customStyle="1" w:styleId="22">
    <w:name w:val="列出段落1"/>
    <w:basedOn w:val="1"/>
    <w:qFormat/>
    <w:uiPriority w:val="99"/>
    <w:pPr>
      <w:ind w:firstLine="420" w:firstLineChars="200"/>
    </w:pPr>
    <w:rPr>
      <w:rFonts w:ascii="Calibri" w:hAnsi="Calibri" w:eastAsia="宋体" w:cs="Calibri"/>
      <w:szCs w:val="21"/>
    </w:rPr>
  </w:style>
  <w:style w:type="character" w:customStyle="1" w:styleId="23">
    <w:name w:val="标题 1 字符"/>
    <w:basedOn w:val="15"/>
    <w:link w:val="2"/>
    <w:qFormat/>
    <w:uiPriority w:val="9"/>
    <w:rPr>
      <w:b/>
      <w:bCs/>
      <w:kern w:val="44"/>
      <w:sz w:val="44"/>
      <w:szCs w:val="44"/>
    </w:rPr>
  </w:style>
  <w:style w:type="paragraph" w:customStyle="1" w:styleId="24">
    <w:name w:val="段"/>
    <w:link w:val="2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5">
    <w:name w:val="段 Char"/>
    <w:link w:val="24"/>
    <w:qFormat/>
    <w:uiPriority w:val="0"/>
    <w:rPr>
      <w:rFonts w:ascii="宋体" w:hAnsi="Times New Roman" w:eastAsia="宋体" w:cs="Times New Roman"/>
      <w:sz w:val="21"/>
    </w:rPr>
  </w:style>
  <w:style w:type="character" w:customStyle="1" w:styleId="26">
    <w:name w:val="标题 2 字符"/>
    <w:basedOn w:val="15"/>
    <w:link w:val="3"/>
    <w:qFormat/>
    <w:uiPriority w:val="9"/>
    <w:rPr>
      <w:rFonts w:ascii="Cambria" w:hAnsi="Cambria" w:eastAsia="宋体" w:cs="Times New Roman"/>
      <w:b/>
      <w:bCs/>
      <w:kern w:val="2"/>
      <w:sz w:val="32"/>
      <w:szCs w:val="32"/>
    </w:rPr>
  </w:style>
  <w:style w:type="paragraph" w:customStyle="1" w:styleId="27">
    <w:name w:val="文章标题"/>
    <w:basedOn w:val="3"/>
    <w:next w:val="2"/>
    <w:qFormat/>
    <w:uiPriority w:val="0"/>
    <w:pPr>
      <w:keepNext w:val="0"/>
      <w:keepLines w:val="0"/>
      <w:spacing w:before="120" w:line="240" w:lineRule="auto"/>
      <w:jc w:val="center"/>
      <w:textAlignment w:val="baseline"/>
      <w:outlineLvl w:val="9"/>
    </w:pPr>
    <w:rPr>
      <w:rFonts w:ascii="宋体" w:hAnsi="Times New Roman"/>
      <w:spacing w:val="20"/>
      <w:sz w:val="48"/>
    </w:rPr>
  </w:style>
  <w:style w:type="paragraph" w:customStyle="1" w:styleId="28">
    <w:name w:val="1."/>
    <w:basedOn w:val="1"/>
    <w:qFormat/>
    <w:uiPriority w:val="0"/>
    <w:pPr>
      <w:spacing w:line="360" w:lineRule="auto"/>
      <w:ind w:firstLine="480" w:firstLineChars="200"/>
    </w:pPr>
    <w:rPr>
      <w:rFonts w:ascii="Calibri" w:hAnsi="Calibri" w:eastAsia="宋体" w:cs="Times New Roman"/>
      <w:sz w:val="24"/>
    </w:rPr>
  </w:style>
  <w:style w:type="paragraph" w:customStyle="1" w:styleId="29">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0">
    <w:name w:val="日期 字符"/>
    <w:basedOn w:val="15"/>
    <w:link w:val="6"/>
    <w:semiHidden/>
    <w:qFormat/>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534</Words>
  <Characters>3047</Characters>
  <Lines>25</Lines>
  <Paragraphs>7</Paragraphs>
  <TotalTime>7</TotalTime>
  <ScaleCrop>false</ScaleCrop>
  <LinksUpToDate>false</LinksUpToDate>
  <CharactersWithSpaces>3574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2023-07-15T22:40:00Z</dcterms:created>
  <dc:creator>凤生</dc:creator>
  <cp:lastModifiedBy>nyncj</cp:lastModifiedBy>
  <cp:lastPrinted>2024-07-19T03:54:00Z</cp:lastPrinted>
  <dcterms:modified xsi:type="dcterms:W3CDTF">2024-07-26T09:37:26Z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