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bookmarkStart w:id="0" w:name="_Toc100423132"/>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pStyle w:val="2"/>
        <w:rPr>
          <w:rFonts w:hint="eastAsia"/>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环京周边蔬菜生产基地建设履责承诺书</w:t>
      </w:r>
      <w:bookmarkEnd w:id="0"/>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根据本企业签订</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环京周边蔬菜生产基地建设四方协议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，在5年</w:t>
      </w:r>
      <w:r>
        <w:rPr>
          <w:rFonts w:ascii="仿宋_GB2312" w:hAnsi="仿宋_GB2312" w:eastAsia="仿宋_GB2312" w:cs="仿宋_GB2312"/>
          <w:sz w:val="32"/>
          <w:szCs w:val="32"/>
        </w:rPr>
        <w:t>协议期内，</w:t>
      </w:r>
      <w:r>
        <w:rPr>
          <w:rFonts w:hint="eastAsia" w:ascii="仿宋_GB2312" w:hAnsi="仿宋_GB2312" w:eastAsia="仿宋_GB2312" w:cs="仿宋_GB2312"/>
          <w:sz w:val="32"/>
          <w:szCs w:val="32"/>
        </w:rPr>
        <w:t>自愿承担北京市日常和应急状况下的蔬菜保障供应任务，为北京市民提供绿色、安全、价廉的蔬菜。特作如下承诺：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一、保证基地生产蔬菜规模原则上不低于300亩，生产蔬菜品种主要为北京市场需求量较大的品种。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日常情况下，基地按照生产计划将所产蔬菜主要供往北京销售，应急状况下保证基地所产蔬菜90%供应北京，保障首都消费需求。如届时不能完成任务或农残抽检不合格，自愿放弃补贴资金，按照有关规定接受相关部门的处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证在应急状况下，北京市场出现蔬菜货源紧缺时，积极响应相关部门发出的应急预警信号，遵从北京市商务局、北京市农业农村局、基地所在地相关部门等调配管理，将所产蔬菜90%以上及时销往北京市应急蔬菜投放网点，并根据指导价合理定价，确保供京蔬菜量足价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证在蔬菜生产过程中，严格按照农产品质量安全相关规定，决不使用禁用农药;大力推广应用病虫害绿色防控技术；积极推广使用生物制剂及高效、低毒、低残留新型农药;严格遵守农药安全间隔期制度;坚决做到每批上市蔬菜自检率100%，做到上市蔬菜农残合格率100%，确保上市蔬菜的质量安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五、按照有关要求，通过京津冀农产品产销信息管理系统实时上报蔬菜生产销售等有关信息。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jc w:val="right"/>
        <w:rPr>
          <w:rFonts w:hint="eastAsia" w:ascii="仿宋_GB2312" w:hAnsi="仿宋_GB2312" w:eastAsia="仿宋_GB2312" w:cs="仿宋_GB2312"/>
          <w:sz w:val="32"/>
          <w:szCs w:val="32"/>
        </w:rPr>
      </w:pPr>
    </w:p>
    <w:p>
      <w:pPr>
        <w:spacing w:line="56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 诺 人(签字):</w:t>
      </w:r>
    </w:p>
    <w:p>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承诺企业(盖章):</w:t>
      </w:r>
    </w:p>
    <w:p>
      <w:pPr>
        <w:spacing w:line="560" w:lineRule="exact"/>
        <w:ind w:firstLine="64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32"/>
          <w:szCs w:val="32"/>
        </w:rPr>
        <w:t xml:space="preserve">            年    月  </w:t>
      </w:r>
    </w:p>
    <w:p>
      <w:bookmarkStart w:id="1" w:name="_GoBack"/>
      <w:bookmarkEnd w:id="1"/>
    </w:p>
    <w:sectPr>
      <w:footerReference r:id="rId3" w:type="default"/>
      <w:footerReference r:id="rId4" w:type="even"/>
      <w:pgSz w:w="11906" w:h="16838"/>
      <w:pgMar w:top="2098" w:right="1474" w:bottom="1587" w:left="1587"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ascii="宋体" w:hAnsi="宋体"/>
        <w:sz w:val="28"/>
        <w:szCs w:val="28"/>
      </w:rPr>
    </w:pPr>
  </w:p>
  <w:p>
    <w:pPr>
      <w:pStyle w:val="4"/>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right"/>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29</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jc w:val="right"/>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29</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7DBB2007"/>
    <w:rsid w:val="7DBB2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0" w:line="560" w:lineRule="exact"/>
      <w:ind w:firstLine="640" w:firstLineChars="200"/>
    </w:pPr>
    <w:rPr>
      <w:rFonts w:eastAsia="仿宋_GB2312"/>
      <w:sz w:val="32"/>
    </w:rPr>
  </w:style>
  <w:style w:type="paragraph" w:customStyle="1" w:styleId="3">
    <w:name w:val="目录 11"/>
    <w:next w:val="1"/>
    <w:autoRedefine/>
    <w:qFormat/>
    <w:uiPriority w:val="99"/>
    <w:pPr>
      <w:wordWrap w:val="0"/>
      <w:jc w:val="both"/>
    </w:pPr>
    <w:rPr>
      <w:rFonts w:ascii="Times New Roman" w:hAnsi="Times New Roman" w:eastAsia="宋体" w:cs="Times New Roman"/>
      <w:sz w:val="21"/>
      <w:szCs w:val="21"/>
      <w:lang w:val="en-US" w:eastAsia="zh-CN" w:bidi="ar-SA"/>
    </w:rPr>
  </w:style>
  <w:style w:type="paragraph" w:styleId="4">
    <w:name w:val="footer"/>
    <w:basedOn w:val="1"/>
    <w:next w:val="1"/>
    <w:qFormat/>
    <w:uiPriority w:val="99"/>
    <w:pPr>
      <w:tabs>
        <w:tab w:val="center" w:pos="4153"/>
        <w:tab w:val="right" w:pos="8306"/>
      </w:tabs>
      <w:snapToGrid w:val="0"/>
      <w:jc w:val="left"/>
    </w:pPr>
    <w:rPr>
      <w:rFonts w:ascii="Times New Roman" w:hAnsi="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2024-02-02T01:42:00Z</dcterms:created>
  <dc:creator>娄高华</dc:creator>
  <cp:lastModifiedBy>娄高华</cp:lastModifiedBy>
  <dcterms:modified xsi:type="dcterms:W3CDTF">2024-02-02T01:42:36Z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7A57C8091B78437AA2C991975BD36792_11</vt:lpwstr>
  </property>
</Properties>
</file>