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附件2</w:t>
      </w:r>
    </w:p>
    <w:p>
      <w:pPr>
        <w:pStyle w:val="2"/>
      </w:pPr>
    </w:p>
    <w:p>
      <w:pPr>
        <w:pStyle w:val="5"/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highlight w:val="none"/>
        </w:rPr>
        <w:t>北京市农业转基因种子生产经营监管方案</w:t>
      </w:r>
    </w:p>
    <w:p>
      <w:pPr>
        <w:spacing w:line="560" w:lineRule="exact"/>
        <w:rPr>
          <w:rFonts w:ascii="仿宋_GB2312" w:hAnsi="仿宋_GB2312" w:eastAsia="仿宋_GB2312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切实履行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《中华人民共和国种子法》（简称《种子法》）、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《农业转基因生物安全管理条例》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（简称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《条例》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赋予的监管职责，做好北京市农业转基因种子生产和经营监督管理工作，制定本方案。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一、监管对象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在北京市开展种子生产、经营的单位和个人。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二、监管内容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  <w:t>（一）品种审定环节监管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严格落实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政策规定，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未获得农业转基因生物生产应用安全证书的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转基因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品种一律不得进入区域试验和品种审定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环节。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对所有参加北京市主要农作物区域试验的品种，在播种前进行转基因成分检测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对含有非法转基因成分的品种，取消试验资格。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  <w:t>（二）种子育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eastAsia="zh-CN"/>
        </w:rPr>
        <w:t>种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  <w:t>环节监管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各区农业农村局应对辖区内的所有育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基地开展转基因成分抽样检测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严禁各种子生产单位、个人私自开展转基因育种工作。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  <w:t>（三）种子生产、经营环节监管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各区农业农村局应明确职责分工，按照职责对本行政区域内的种子生产基地开展全覆盖检查，严查亲本来源，特别是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加大苗期的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抽检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力度，严禁以转基因种子冒充非转基因种子生产。对辖区内种子经营单位、个人经营的大豆、玉米、小麦等农作物种子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进行转基因成分抽检，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依法严惩非法经营行为。对辖区内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大豆、玉米、小麦等农作物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种植田开展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转基因成分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抽检，杜绝非法种植行为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督促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转基因种子生产经营单位严格落实《种子法》和《条例》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要求，正确标识，合法生产经营。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三、监管要求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eastAsia="zh-CN"/>
        </w:rPr>
        <w:t>督促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  <w:t>生产经营单位和个人自查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转基因种子生产经营单位和个人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《种子法》和《条例》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，切实担负起主体责任，对安全制度建立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情况、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安全控制措施落实情况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生产经营档案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建立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开展自查自纠。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  <w:t>（二）区级管理部门检查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各区有关职能部门要加强与种子生产经营单位和个人沟通联系，组织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辖区内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的种子生产经营单位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个人签订《农业转基因生物安全承诺书》；要重点检查种子生产经营单位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个人主体责任落实情况、安全制度制定情况、安全控制措施落实情况、是否存在以非法转基因种子冒充非转基因种子、档案是否完整、转基因种子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是否正确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标识等。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  <w:t>（三）市级管理部门督查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市农业农村局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将适时组织开展督导检查工作。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8CA4BE-4C5D-49F3-AA32-7DCFE25CA3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96682F8-862D-483B-890F-ACCC21CB2EA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6202C5A-37DF-41D7-9297-C96756324A1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D09ADEE-B4EC-4BF6-81A6-1145D0B4E7A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84CB112E-E4DC-4623-B2D1-ABF97FF251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020B24F2"/>
    <w:rsid w:val="020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2023-05-25T06:26:00Z</dcterms:created>
  <dc:creator>友情提醒</dc:creator>
  <cp:lastModifiedBy>友情提醒</cp:lastModifiedBy>
  <dcterms:modified xsi:type="dcterms:W3CDTF">2023-05-25T06:26:59Z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FC6158663E7048B0B5395BFB64EA1145_11</vt:lpwstr>
  </property>
</Properties>
</file>