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napToGrid w:val="0"/>
        <w:spacing w:before="0" w:beforeAutospacing="0" w:after="0" w:afterAutospacing="0" w:line="560" w:lineRule="exac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附件1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生态农场建设领导小组工作机制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rPr>
          <w:rFonts w:hint="eastAsia" w:ascii="Times New Roman" w:hAnsi="Times New Roman" w:eastAsia="仿宋_GB2312"/>
          <w:kern w:val="2"/>
          <w:sz w:val="32"/>
          <w:szCs w:val="22"/>
        </w:rPr>
      </w:pPr>
    </w:p>
    <w:p>
      <w:pPr>
        <w:pStyle w:val="3"/>
        <w:widowControl/>
        <w:snapToGrid w:val="0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kern w:val="2"/>
          <w:sz w:val="32"/>
          <w:szCs w:val="22"/>
          <w:lang w:val="en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44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</w:rPr>
        <w:t>按照农业农村部办公厅印发的《推进生态农场建设的指导意见》要求，为提高北京生态农场建设水平，促进北京农业生态发展，成立北京生态农场建设领导小组。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22"/>
        </w:rPr>
      </w:pPr>
      <w:r>
        <w:rPr>
          <w:rFonts w:hint="eastAsia" w:ascii="仿宋_GB2312" w:hAnsi="仿宋_GB2312" w:eastAsia="仿宋_GB2312" w:cs="仿宋_GB2312"/>
          <w:b/>
          <w:bCs w:val="0"/>
          <w:kern w:val="44"/>
          <w:sz w:val="32"/>
          <w:szCs w:val="44"/>
        </w:rPr>
        <w:t>组    长：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</w:rPr>
        <w:t>杨  琦　市农业农村局副局长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22"/>
        </w:rPr>
      </w:pPr>
      <w:r>
        <w:rPr>
          <w:rFonts w:hint="eastAsia" w:ascii="仿宋_GB2312" w:hAnsi="仿宋_GB2312" w:eastAsia="仿宋_GB2312" w:cs="仿宋_GB2312"/>
          <w:b/>
          <w:bCs w:val="0"/>
          <w:kern w:val="44"/>
          <w:sz w:val="32"/>
          <w:szCs w:val="44"/>
        </w:rPr>
        <w:t>成员单位：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</w:rPr>
        <w:t>生态建设处、种植业管理处、畜牧渔业处、兽医兽药处、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eastAsia="zh-CN"/>
        </w:rPr>
        <w:t>农业机械化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</w:rPr>
        <w:t>管理处、农村合作经济指导处、科技处、农产品质量安全处、产业发展处、宣传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eastAsia="zh-CN"/>
        </w:rPr>
        <w:t>与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</w:rPr>
        <w:t>文化处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22"/>
        </w:rPr>
      </w:pPr>
      <w:r>
        <w:rPr>
          <w:rFonts w:hint="eastAsia" w:ascii="仿宋_GB2312" w:hAnsi="仿宋_GB2312" w:eastAsia="仿宋_GB2312" w:cs="仿宋_GB2312"/>
          <w:sz w:val="32"/>
          <w:szCs w:val="22"/>
        </w:rPr>
        <w:t>生态农场建设领导小组办公室设在</w:t>
      </w:r>
      <w:r>
        <w:rPr>
          <w:rFonts w:hint="eastAsia" w:ascii="仿宋_GB2312" w:hAnsi="仿宋_GB2312" w:eastAsia="仿宋_GB2312" w:cs="仿宋_GB2312"/>
          <w:sz w:val="32"/>
          <w:szCs w:val="22"/>
          <w:lang w:val="en"/>
        </w:rPr>
        <w:t>生态建设处</w:t>
      </w:r>
      <w:r>
        <w:rPr>
          <w:rFonts w:hint="eastAsia" w:ascii="仿宋_GB2312" w:hAnsi="仿宋_GB2312" w:eastAsia="仿宋_GB2312" w:cs="仿宋_GB2312"/>
          <w:sz w:val="32"/>
          <w:szCs w:val="22"/>
        </w:rPr>
        <w:t>。按照领导小组的要求负责组织日常工作。办公室由相关业务处室指派专人参与工作，开展生态农场申报、评选、技术指导、验收及经验推广等相关工作。市农业技术推广站、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22"/>
        </w:rPr>
        <w:t>水产技术推广站、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22"/>
        </w:rPr>
        <w:t>畜牧总站、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22"/>
        </w:rPr>
        <w:t>农产品质量安全中心、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22"/>
        </w:rPr>
        <w:t>植物保护站、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22"/>
        </w:rPr>
        <w:t>农业机械试验鉴定推广站、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22"/>
        </w:rPr>
        <w:t>耕地建设保护中心提供技术支持。北京生态农场建设具体分为种植、畜牧、水产三个行业领域。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bCs/>
          <w:kern w:val="2"/>
          <w:sz w:val="32"/>
          <w:szCs w:val="22"/>
        </w:rPr>
        <w:t>一、统筹协调制度。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领导小组办公室根据农业农村部相关工作的建设意见，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研提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北京生态农场建设年度建设任务、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工作要求，完善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评价体系和标准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，按程序报请出台年度实施方案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。领导小组办公室组织成员单位召开调度会议，原则上每季度召开一次，必要时可组织其他单位进行不定期调度。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 GB2312" w:hAnsi="黑体" w:eastAsia="仿宋 GB2312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kern w:val="2"/>
          <w:sz w:val="32"/>
          <w:szCs w:val="22"/>
        </w:rPr>
        <w:t>二、指导服务制度。</w:t>
      </w:r>
      <w:r>
        <w:rPr>
          <w:rFonts w:hint="eastAsia" w:ascii="仿宋 GB2312" w:hAnsi="黑体" w:eastAsia="仿宋 GB2312"/>
          <w:color w:val="000000"/>
          <w:sz w:val="32"/>
          <w:szCs w:val="32"/>
        </w:rPr>
        <w:t>领导小组办公室</w:t>
      </w:r>
      <w:r>
        <w:rPr>
          <w:rFonts w:hint="eastAsia" w:ascii="仿宋 GB2312" w:hAnsi="Times New Roman" w:eastAsia="仿宋 GB2312"/>
          <w:color w:val="000000"/>
          <w:kern w:val="2"/>
          <w:sz w:val="32"/>
          <w:szCs w:val="22"/>
        </w:rPr>
        <w:t>每年至少组织一次全市生态农场建设情况督导检查，各</w:t>
      </w:r>
      <w:r>
        <w:rPr>
          <w:rFonts w:hint="eastAsia" w:ascii="仿宋 GB2312" w:hAnsi="Times New Roman" w:eastAsia="仿宋 GB2312"/>
          <w:color w:val="000000"/>
          <w:kern w:val="2"/>
          <w:sz w:val="32"/>
          <w:szCs w:val="22"/>
          <w:lang w:eastAsia="zh-CN"/>
        </w:rPr>
        <w:t>相关处室</w:t>
      </w:r>
      <w:r>
        <w:rPr>
          <w:rFonts w:hint="eastAsia" w:ascii="仿宋 GB2312" w:hAnsi="Times New Roman" w:eastAsia="仿宋 GB2312"/>
          <w:color w:val="000000"/>
          <w:kern w:val="2"/>
          <w:sz w:val="32"/>
          <w:szCs w:val="22"/>
        </w:rPr>
        <w:t>每半年至少组织一次对本行业生态农场的全面服务指导</w:t>
      </w:r>
      <w:r>
        <w:rPr>
          <w:rFonts w:hint="eastAsia" w:ascii="仿宋 GB2312" w:hAnsi="黑体" w:eastAsia="仿宋 GB2312"/>
          <w:color w:val="000000"/>
          <w:sz w:val="32"/>
          <w:szCs w:val="32"/>
        </w:rPr>
        <w:t>。</w:t>
      </w:r>
      <w:r>
        <w:rPr>
          <w:rFonts w:hint="eastAsia" w:ascii="仿宋 GB2312" w:hAnsi="Times New Roman" w:eastAsia="仿宋 GB2312"/>
          <w:color w:val="000000"/>
          <w:sz w:val="32"/>
          <w:szCs w:val="22"/>
        </w:rPr>
        <w:t>市农业技术推广站、</w:t>
      </w:r>
      <w:r>
        <w:rPr>
          <w:rFonts w:hint="eastAsia" w:ascii="仿宋 GB2312" w:hAnsi="Times New Roman" w:eastAsia="仿宋 GB2312"/>
          <w:color w:val="000000"/>
          <w:sz w:val="32"/>
          <w:szCs w:val="22"/>
          <w:lang w:eastAsia="zh-CN"/>
        </w:rPr>
        <w:t>市</w:t>
      </w:r>
      <w:r>
        <w:rPr>
          <w:rFonts w:hint="eastAsia" w:ascii="仿宋 GB2312" w:hAnsi="Times New Roman" w:eastAsia="仿宋 GB2312"/>
          <w:color w:val="000000"/>
          <w:sz w:val="32"/>
          <w:szCs w:val="22"/>
        </w:rPr>
        <w:t>水产技术推广站、</w:t>
      </w:r>
      <w:r>
        <w:rPr>
          <w:rFonts w:hint="eastAsia" w:ascii="仿宋 GB2312" w:hAnsi="Times New Roman" w:eastAsia="仿宋 GB2312"/>
          <w:color w:val="000000"/>
          <w:sz w:val="32"/>
          <w:szCs w:val="22"/>
          <w:lang w:eastAsia="zh-CN"/>
        </w:rPr>
        <w:t>市</w:t>
      </w:r>
      <w:r>
        <w:rPr>
          <w:rFonts w:hint="eastAsia" w:ascii="仿宋 GB2312" w:hAnsi="Times New Roman" w:eastAsia="仿宋 GB2312"/>
          <w:color w:val="000000"/>
          <w:sz w:val="32"/>
          <w:szCs w:val="22"/>
        </w:rPr>
        <w:t>畜牧总站、</w:t>
      </w:r>
      <w:r>
        <w:rPr>
          <w:rFonts w:hint="eastAsia" w:ascii="仿宋 GB2312" w:hAnsi="Times New Roman" w:eastAsia="仿宋 GB2312"/>
          <w:color w:val="000000"/>
          <w:sz w:val="32"/>
          <w:szCs w:val="22"/>
          <w:lang w:eastAsia="zh-CN"/>
        </w:rPr>
        <w:t>市</w:t>
      </w:r>
      <w:r>
        <w:rPr>
          <w:rFonts w:hint="eastAsia" w:ascii="仿宋 GB2312" w:hAnsi="Times New Roman" w:eastAsia="仿宋 GB2312"/>
          <w:color w:val="000000"/>
          <w:sz w:val="32"/>
          <w:szCs w:val="22"/>
        </w:rPr>
        <w:t>植物保护站</w:t>
      </w:r>
      <w:r>
        <w:rPr>
          <w:rFonts w:hint="eastAsia" w:ascii="仿宋 GB2312" w:hAnsi="Times New Roman" w:eastAsia="仿宋 GB2312"/>
          <w:color w:val="000000"/>
          <w:sz w:val="32"/>
          <w:szCs w:val="22"/>
          <w:lang w:eastAsia="zh-CN"/>
        </w:rPr>
        <w:t>等不定期深入园区</w:t>
      </w:r>
      <w:r>
        <w:rPr>
          <w:rFonts w:hint="eastAsia" w:ascii="仿宋 GB2312" w:hAnsi="Times New Roman" w:eastAsia="仿宋 GB2312"/>
          <w:color w:val="000000"/>
          <w:sz w:val="32"/>
          <w:szCs w:val="22"/>
        </w:rPr>
        <w:t>提供技术</w:t>
      </w:r>
      <w:r>
        <w:rPr>
          <w:rFonts w:hint="eastAsia" w:ascii="仿宋 GB2312" w:hAnsi="Times New Roman" w:eastAsia="仿宋 GB2312"/>
          <w:color w:val="000000"/>
          <w:sz w:val="32"/>
          <w:szCs w:val="22"/>
          <w:lang w:eastAsia="zh-CN"/>
        </w:rPr>
        <w:t>服务</w:t>
      </w:r>
      <w:r>
        <w:rPr>
          <w:rFonts w:hint="eastAsia" w:ascii="仿宋 GB2312" w:hAnsi="Times New Roman" w:eastAsia="仿宋 GB2312"/>
          <w:color w:val="000000"/>
          <w:sz w:val="32"/>
          <w:szCs w:val="22"/>
        </w:rPr>
        <w:t>。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 GB2312" w:hAnsi="黑体" w:eastAsia="仿宋 GB2312"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kern w:val="2"/>
          <w:sz w:val="32"/>
          <w:szCs w:val="22"/>
        </w:rPr>
        <w:t>三、评审复核制度。</w:t>
      </w:r>
      <w:r>
        <w:rPr>
          <w:rFonts w:hint="eastAsia" w:ascii="仿宋 GB2312" w:hAnsi="黑体" w:eastAsia="仿宋 GB2312"/>
          <w:color w:val="000000"/>
          <w:sz w:val="32"/>
          <w:szCs w:val="32"/>
        </w:rPr>
        <w:t>对</w:t>
      </w:r>
      <w:r>
        <w:rPr>
          <w:rFonts w:hint="eastAsia" w:ascii="仿宋 GB2312" w:hAnsi="黑体" w:eastAsia="仿宋 GB2312"/>
          <w:color w:val="000000"/>
          <w:sz w:val="32"/>
          <w:szCs w:val="32"/>
          <w:lang w:eastAsia="zh-CN"/>
        </w:rPr>
        <w:t>审核通过的生态农场</w:t>
      </w:r>
      <w:r>
        <w:rPr>
          <w:rFonts w:hint="eastAsia" w:ascii="仿宋 GB2312" w:hAnsi="黑体" w:eastAsia="仿宋 GB2312"/>
          <w:color w:val="000000"/>
          <w:sz w:val="32"/>
          <w:szCs w:val="32"/>
        </w:rPr>
        <w:t>主体，在有效期内对实施过程、实施效果等进行全面评价。对不符合要求的，要及时进行整改，对整改后仍达不到要求的主体予以撤销。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 GB2312" w:hAnsi="Times New Roman" w:eastAsia="仿宋 GB2312"/>
          <w:color w:val="000000"/>
          <w:kern w:val="2"/>
          <w:sz w:val="32"/>
          <w:szCs w:val="22"/>
        </w:rPr>
      </w:pPr>
      <w:r>
        <w:rPr>
          <w:rFonts w:hint="eastAsia" w:ascii="黑体" w:hAnsi="黑体" w:eastAsia="黑体"/>
          <w:bCs/>
          <w:kern w:val="2"/>
          <w:sz w:val="32"/>
          <w:szCs w:val="22"/>
        </w:rPr>
        <w:t>四、信息报送制度。</w:t>
      </w:r>
      <w:r>
        <w:rPr>
          <w:rFonts w:hint="eastAsia" w:ascii="仿宋 GB2312" w:hAnsi="黑体" w:eastAsia="仿宋 GB2312"/>
          <w:color w:val="000000"/>
          <w:sz w:val="32"/>
          <w:szCs w:val="32"/>
        </w:rPr>
        <w:t>领导小组办公室</w:t>
      </w:r>
      <w:r>
        <w:rPr>
          <w:rFonts w:hint="eastAsia" w:ascii="仿宋 GB2312" w:hAnsi="Times New Roman" w:eastAsia="仿宋 GB2312"/>
          <w:color w:val="000000"/>
          <w:kern w:val="2"/>
          <w:sz w:val="32"/>
          <w:szCs w:val="22"/>
        </w:rPr>
        <w:t>负责采集生态农场的发展潜力、生产规模动态、防灾抗灾能力、产品服务输出等全链条数据与信息，组织专家团队开展研究，总结编发生态农场工作专报，内容包括工作推进进度、工作做法、典型经验以及典型园区介绍宣传等。</w:t>
      </w: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 GB2312" w:hAnsi="Times New Roman" w:eastAsia="仿宋 GB2312"/>
          <w:kern w:val="2"/>
          <w:sz w:val="32"/>
          <w:szCs w:val="22"/>
        </w:rPr>
      </w:pPr>
    </w:p>
    <w:p>
      <w:pPr>
        <w:pStyle w:val="3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 GB2312" w:hAnsi="Times New Roman" w:eastAsia="仿宋 GB2312"/>
          <w:kern w:val="2"/>
          <w:sz w:val="32"/>
          <w:szCs w:val="22"/>
        </w:rPr>
      </w:pPr>
    </w:p>
    <w:p>
      <w:pPr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仿宋 GB2312" w:hAnsi="方正仿宋_GBK" w:eastAsia="仿宋 GB2312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DF7741-70E5-434A-B5E7-2753760628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5B250B-CB88-4FAB-B76F-548233725FA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50A1FCD-F0DE-41C7-A5BB-39F83569FC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ED623F2-72A8-47DF-B761-65C278907879}"/>
  </w:font>
  <w:font w:name="仿宋 GB2312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5" w:fontKey="{179BD7DB-2AE5-49B2-AEAB-E443984C9DE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54A9948-F8E3-4174-B71B-EC2D3C3C08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213540CA"/>
    <w:rsid w:val="2135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2022-09-30T02:16:00Z</dcterms:created>
  <dc:creator>友情提醒</dc:creator>
  <cp:lastModifiedBy>友情提醒</cp:lastModifiedBy>
  <dcterms:modified xsi:type="dcterms:W3CDTF">2022-09-30T02:16:33Z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32DC4BA43D8747C6BEDE423ED03E3AB6</vt:lpwstr>
  </property>
</Properties>
</file>