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2205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黑体" w:hAnsi="宋体" w:eastAsia="黑体" w:cs="黑体"/>
          <w:color w:val="auto"/>
          <w:kern w:val="2"/>
          <w:sz w:val="32"/>
          <w:szCs w:val="32"/>
        </w:rPr>
        <w:t>附件</w:t>
      </w: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/>
        </w:rPr>
        <w:t>1</w:t>
      </w:r>
    </w:p>
    <w:p w14:paraId="1458C3FE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color w:val="auto"/>
          <w:kern w:val="0"/>
          <w:sz w:val="44"/>
          <w:szCs w:val="44"/>
        </w:rPr>
      </w:pPr>
      <w:r>
        <w:rPr>
          <w:rFonts w:hint="eastAsia" w:ascii="黑体" w:hAnsi="黑体" w:eastAsia="黑体" w:cs="黑体"/>
          <w:bCs/>
          <w:color w:val="auto"/>
          <w:kern w:val="0"/>
          <w:sz w:val="44"/>
          <w:szCs w:val="44"/>
        </w:rPr>
        <w:t>北京市农业行政处罚信息公示管理</w:t>
      </w:r>
    </w:p>
    <w:p w14:paraId="597073E3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auto"/>
          <w:kern w:val="0"/>
          <w:sz w:val="44"/>
          <w:szCs w:val="44"/>
        </w:rPr>
        <w:t>暂行办法</w:t>
      </w:r>
      <w:r>
        <w:rPr>
          <w:rFonts w:hint="eastAsia" w:ascii="黑体" w:hAnsi="黑体" w:eastAsia="黑体" w:cs="黑体"/>
          <w:bCs/>
          <w:color w:val="auto"/>
          <w:kern w:val="0"/>
          <w:sz w:val="44"/>
          <w:szCs w:val="44"/>
          <w:lang w:eastAsia="zh-CN"/>
        </w:rPr>
        <w:t>（征求意见稿）</w:t>
      </w:r>
    </w:p>
    <w:p w14:paraId="72865387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 w14:paraId="742F92B0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第一条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为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进一步规范行政处罚信息公示和信用修复工作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推进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严格规范公正文明执法，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切实保障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当事人的合法权益，根据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《信用修复管理办法》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等规定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，结合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农业执法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实际，制定本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608629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第二条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农业执法部门按照国家和本市有关要求，对依法作出的行政处罚信息公示及信用修复等工作，适用本办法。</w:t>
      </w:r>
    </w:p>
    <w:p w14:paraId="57F602D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第三条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农业执法部门行政处罚信息的公示，遵循“谁作出、谁公示”原则。</w:t>
      </w:r>
      <w:bookmarkStart w:id="0" w:name="_GoBack"/>
      <w:bookmarkEnd w:id="0"/>
    </w:p>
    <w:p w14:paraId="1CAB4868">
      <w:pPr>
        <w:pStyle w:val="4"/>
        <w:rPr>
          <w:rFonts w:hint="default"/>
          <w:lang w:val="en-US" w:eastAsia="zh-CN"/>
        </w:rPr>
      </w:pPr>
    </w:p>
    <w:p w14:paraId="7F3D18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第四条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行政处罚信息按照行政处罚严重程度实行分类管理，划分为“轻微、一般、严重”三类，按照过罚相当原则，分别设置不同的公示期限，公示期限自作出行政处罚决定之日起开始计算。</w:t>
      </w:r>
    </w:p>
    <w:p w14:paraId="52EAFB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第五条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轻微行政处罚信息包括： </w:t>
      </w:r>
    </w:p>
    <w:p w14:paraId="793D0B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（一）以简易程序作出的行政处罚信息； </w:t>
      </w:r>
    </w:p>
    <w:p w14:paraId="3EE344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（二）以普通程序作出的警告、通报批评的行政处罚信息； </w:t>
      </w:r>
    </w:p>
    <w:p w14:paraId="09BFFE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处以一万元以下、对法人或者其他组织处以十万元以下罚款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的行政处罚信息；</w:t>
      </w:r>
    </w:p>
    <w:p w14:paraId="1FDC2F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自然人作出没收违法所得、没收非法财物之和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一万元以下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对法人或者其他组织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作出没收违法所得、没收非法财物之和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十万元以下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的行政处罚信息。</w:t>
      </w:r>
    </w:p>
    <w:p w14:paraId="101822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第六条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一般行政处罚信息包括： </w:t>
      </w:r>
    </w:p>
    <w:p w14:paraId="3B81A5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（一）对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处以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不足十万元、对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法人或者其他组织处以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十万元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不足一百万元罚款的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行政处罚信息； </w:t>
      </w:r>
    </w:p>
    <w:p w14:paraId="1FFA31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自然人作出没收违法所得、没收非法财物之和超过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法人或者其他组织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作出没收违法所得、没收非法财物之和超过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十万元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行政处罚信息。</w:t>
      </w:r>
    </w:p>
    <w:p w14:paraId="6B1945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第七条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严重行政处罚信息包括： </w:t>
      </w:r>
    </w:p>
    <w:p w14:paraId="0DE903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（一）对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自然人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处以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十万元以上、对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法人或者其他组织处以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一百万元以上罚款的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行政处罚信息； </w:t>
      </w:r>
    </w:p>
    <w:p w14:paraId="6BDCC8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（二）暂扣许可证件、降低资质等级、吊销许可证件、限制 </w:t>
      </w:r>
    </w:p>
    <w:p w14:paraId="6C53EB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开展生产经营活动、责令停产停业、责令关闭、限制从业的行政处罚信息；</w:t>
      </w:r>
    </w:p>
    <w:p w14:paraId="2F5068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（三）当事人一年内发生同类型违法行为三次以上的行政处罚信息。</w:t>
      </w:r>
    </w:p>
    <w:p w14:paraId="090E58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第八条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轻微行政处罚信息原则上不予公示。一般行政处罚信息的最短公示期为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个月，最长为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年。严重行政处罚信息的最短公示期为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年，最长为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年。</w:t>
      </w:r>
    </w:p>
    <w:p w14:paraId="5A25D0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第九条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一行政处罚信息涉及多种处罚类型的，其公示期限以期限最长的类型为准。对附带期限的处罚，在相关期限届满前，该行政处罚信息不得提前终止公示。“信用中国”网站涉及自然人的行政处罚信息原则上不予公示。</w:t>
      </w:r>
    </w:p>
    <w:p w14:paraId="5DDE2F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第十条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最短公示期届满后，当事人可按相关规定申请信用修复。最长公示期届满后，相关信息停止公示。未履行完行政处罚决定规定义务的除外。</w:t>
      </w:r>
    </w:p>
    <w:p w14:paraId="563B2C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第十一条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申请信用修复，应当同时满足以下条件：</w:t>
      </w:r>
    </w:p>
    <w:p w14:paraId="4E93A525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（一）达到最短公示期限；</w:t>
      </w:r>
    </w:p>
    <w:p w14:paraId="15B753EB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（二）纠正失信行为，完全履行失信行为涉及的行政处罚等规定的义务；</w:t>
      </w:r>
    </w:p>
    <w:p w14:paraId="67563515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（三）公开作出承诺，承诺的内容应包括所提交材料真实有效，并明确愿意承担违反承诺的相应责任。</w:t>
      </w:r>
    </w:p>
    <w:p w14:paraId="6959F002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（四）法律、行政法规、部门规章要求的其他条件。</w:t>
      </w:r>
    </w:p>
    <w:p w14:paraId="7CD90C0D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第十二条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申请信用修复，应当向“信用中国”网站提出申请，并提供以下材料：</w:t>
      </w:r>
    </w:p>
    <w:p w14:paraId="5D362C24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（一）纠正失信行为、履行法定义务等证明材料；</w:t>
      </w:r>
    </w:p>
    <w:p w14:paraId="4DF69108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（二）信用承诺书；</w:t>
      </w:r>
    </w:p>
    <w:p w14:paraId="30E48442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（三）法律、行政法规、部门规章要求提供的其他材料。</w:t>
      </w:r>
    </w:p>
    <w:p w14:paraId="3FE780F8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农业执法部门按照本市信用修复办理模式，依职责做好信用修复办理相关工作。</w:t>
      </w:r>
    </w:p>
    <w:p w14:paraId="3BD2C2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/>
          <w:color w:val="auto"/>
          <w:lang w:val="en-US" w:eastAsia="zh-CN"/>
        </w:rPr>
        <w:sectPr>
          <w:footerReference r:id="rId3" w:type="default"/>
          <w:pgSz w:w="11905" w:h="16838"/>
          <w:pgMar w:top="2098" w:right="1474" w:bottom="1984" w:left="1587" w:header="851" w:footer="992" w:gutter="0"/>
          <w:pgNumType w:fmt="decimal"/>
          <w:cols w:space="720" w:num="1"/>
          <w:docGrid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第十四条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印发之日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起施行。</w:t>
      </w:r>
    </w:p>
    <w:p w14:paraId="1F7CCD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A03E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19396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619396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366C7"/>
    <w:rsid w:val="5D03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420" w:firstLineChars="20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 w:bidi="ar"/>
    </w:rPr>
  </w:style>
  <w:style w:type="paragraph" w:styleId="3">
    <w:name w:val="Body Text"/>
    <w:basedOn w:val="1"/>
    <w:next w:val="4"/>
    <w:uiPriority w:val="0"/>
    <w:pPr>
      <w:spacing w:before="0" w:after="140" w:line="276" w:lineRule="auto"/>
    </w:pPr>
  </w:style>
  <w:style w:type="paragraph" w:customStyle="1" w:styleId="4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customStyle="1" w:styleId="8">
    <w:name w:val="公文"/>
    <w:basedOn w:val="1"/>
    <w:qFormat/>
    <w:uiPriority w:val="0"/>
    <w:pPr>
      <w:spacing w:line="560" w:lineRule="exact"/>
      <w:ind w:firstLine="880" w:firstLineChars="200"/>
    </w:pPr>
    <w:rPr>
      <w:rFonts w:hint="eastAsia" w:ascii="方正仿宋_GB2312" w:hAnsi="方正仿宋_GB2312" w:eastAsia="仿宋_GB2312" w:cs="Times New Roman"/>
      <w:color w:val="auto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2026-09-04T02:53:00Z</dcterms:created>
  <dc:creator>李敏</dc:creator>
  <cp:lastModifiedBy>李敏</cp:lastModifiedBy>
  <dcterms:modified xsi:type="dcterms:W3CDTF">2026-09-04T02:54:27Z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C5503154D4974302B87A443F4768079D_11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