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167938">
      <w:pPr>
        <w:pStyle w:val="3"/>
        <w:widowControl/>
        <w:ind w:left="0" w:leftChars="0" w:firstLine="0" w:firstLineChars="0"/>
        <w:rPr>
          <w:rFonts w:hint="default" w:ascii="Calibri" w:hAnsi="Calibri" w:eastAsia="仿宋_GB2312" w:cs="Times New Roman"/>
          <w:color w:val="auto"/>
          <w:kern w:val="2"/>
          <w:sz w:val="32"/>
          <w:szCs w:val="32"/>
        </w:rPr>
      </w:pPr>
      <w:r>
        <w:rPr>
          <w:rFonts w:hint="default" w:ascii="黑体" w:hAnsi="宋体" w:eastAsia="黑体" w:cs="黑体"/>
          <w:color w:val="auto"/>
          <w:kern w:val="2"/>
          <w:sz w:val="32"/>
          <w:szCs w:val="32"/>
        </w:rPr>
        <w:t>附件2</w:t>
      </w:r>
    </w:p>
    <w:p w14:paraId="642D77A4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0"/>
          <w:sz w:val="44"/>
          <w:szCs w:val="44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44"/>
          <w:szCs w:val="44"/>
          <w:lang w:eastAsia="zh-CN"/>
        </w:rPr>
        <w:t>《北京市农业行政处罚信息公示管理暂行办法（征求意见稿）》起草</w:t>
      </w: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44"/>
          <w:szCs w:val="44"/>
        </w:rPr>
        <w:t>说明</w:t>
      </w:r>
    </w:p>
    <w:p w14:paraId="5387391E">
      <w:pPr>
        <w:pStyle w:val="3"/>
        <w:widowControl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Calibri" w:hAnsi="Calibri" w:eastAsia="仿宋_GB2312" w:cs="Times New Roman"/>
          <w:color w:val="auto"/>
          <w:kern w:val="2"/>
          <w:sz w:val="32"/>
          <w:szCs w:val="32"/>
        </w:rPr>
        <w:t xml:space="preserve"> </w:t>
      </w:r>
      <w:bookmarkStart w:id="0" w:name="_Toc1100951026_WPSOffice_Level1"/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一、起草背景</w:t>
      </w:r>
      <w:bookmarkEnd w:id="0"/>
    </w:p>
    <w:p w14:paraId="423BF1A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北京市社会信用体系建设联席会议办公室印发《2026年北京市社会信用体系建设工作要点》，要求行业监管、综合执法部门按照“轻微、一般、严重”的分类原则对本领域失信信息制定具体分类标准。</w:t>
      </w:r>
      <w:r>
        <w:rPr>
          <w:rFonts w:hint="eastAsia" w:ascii="仿宋_GB2312" w:eastAsia="仿宋_GB2312" w:cs="仿宋_GB2312"/>
          <w:color w:val="auto"/>
          <w:sz w:val="32"/>
          <w:szCs w:val="32"/>
          <w:lang w:val="en-US" w:eastAsia="zh-CN"/>
        </w:rPr>
        <w:t>为落实相</w:t>
      </w:r>
      <w:bookmarkStart w:id="1" w:name="_GoBack"/>
      <w:bookmarkEnd w:id="1"/>
      <w:r>
        <w:rPr>
          <w:rFonts w:hint="eastAsia" w:ascii="仿宋_GB2312" w:eastAsia="仿宋_GB2312" w:cs="仿宋_GB2312"/>
          <w:color w:val="auto"/>
          <w:sz w:val="32"/>
          <w:szCs w:val="32"/>
          <w:lang w:val="en-US" w:eastAsia="zh-CN"/>
        </w:rPr>
        <w:t>关要求，进一步做好农业行政处罚信息公示工作，切实保障当事人的合法权益，研究起草了《北京市农业行政处罚信息公示管理暂行办法（征求意见稿）》（以下简称《办法》）。</w:t>
      </w:r>
    </w:p>
    <w:p w14:paraId="1D0486B1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主要内容</w:t>
      </w:r>
    </w:p>
    <w:p w14:paraId="7F066128"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eastAsia="仿宋_GB2312" w:cs="仿宋_GB2312"/>
          <w:color w:val="auto"/>
          <w:sz w:val="32"/>
          <w:szCs w:val="32"/>
          <w:lang w:val="en-US" w:eastAsia="zh-CN"/>
        </w:rPr>
        <w:t>《</w:t>
      </w:r>
      <w:r>
        <w:rPr>
          <w:rFonts w:hint="eastAsia" w:ascii="仿宋_GB2312" w:cs="仿宋_GB2312"/>
          <w:color w:val="auto"/>
          <w:sz w:val="32"/>
          <w:szCs w:val="32"/>
          <w:lang w:val="en-US" w:eastAsia="zh-CN"/>
        </w:rPr>
        <w:t>办法</w:t>
      </w:r>
      <w:r>
        <w:rPr>
          <w:rFonts w:hint="eastAsia" w:ascii="仿宋_GB2312" w:eastAsia="仿宋_GB2312" w:cs="仿宋_GB2312"/>
          <w:color w:val="auto"/>
          <w:sz w:val="32"/>
          <w:szCs w:val="32"/>
          <w:lang w:val="en-US" w:eastAsia="zh-CN"/>
        </w:rPr>
        <w:t>》</w:t>
      </w:r>
      <w:r>
        <w:rPr>
          <w:rFonts w:hint="eastAsia" w:ascii="仿宋_GB2312" w:cs="仿宋_GB2312"/>
          <w:color w:val="auto"/>
          <w:sz w:val="32"/>
          <w:szCs w:val="32"/>
          <w:lang w:val="en-US" w:eastAsia="zh-CN"/>
        </w:rPr>
        <w:t>主要包括农业行政处罚信息分类标准、公示期限、信用修复方式途径等方面内容。</w:t>
      </w:r>
    </w:p>
    <w:p w14:paraId="6AA09E65"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cs="仿宋_GB2312"/>
          <w:i w:val="0"/>
          <w:iCs w:val="0"/>
          <w:caps w:val="0"/>
          <w:color w:val="auto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仿宋_GB2312" w:cs="仿宋_GB2312"/>
          <w:color w:val="auto"/>
          <w:sz w:val="32"/>
          <w:szCs w:val="32"/>
          <w:lang w:val="en-US" w:eastAsia="zh-CN"/>
        </w:rPr>
        <w:t>行政处罚信息分类标准制定主要依据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《信用修复管理办法》</w:t>
      </w:r>
      <w:r>
        <w:rPr>
          <w:rFonts w:hint="eastAsia" w:ascii="仿宋_GB2312" w:hAnsi="仿宋_GB2312" w:cs="仿宋_GB2312"/>
          <w:color w:val="auto"/>
          <w:sz w:val="32"/>
          <w:szCs w:val="32"/>
          <w:lang w:val="en-US" w:eastAsia="zh-CN"/>
        </w:rPr>
        <w:t>第八条、第九条、第十条规定，划分为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“轻微、一般、严重”三类。</w:t>
      </w:r>
      <w:r>
        <w:rPr>
          <w:rFonts w:hint="eastAsia" w:ascii="仿宋_GB2312" w:hAnsi="仿宋_GB2312" w:cs="仿宋_GB2312"/>
          <w:i w:val="0"/>
          <w:iCs w:val="0"/>
          <w:caps w:val="0"/>
          <w:color w:val="auto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并参考《农业行政处罚程序规定》《北京市农业农村局重大行政处罚案件集体讨论制度（试行）》等规定明确了较小数额罚款（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个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人处以一万元以下、对法人或者其他组织处以十万元以下罚款</w:t>
      </w:r>
      <w:r>
        <w:rPr>
          <w:rFonts w:hint="eastAsia" w:ascii="仿宋_GB2312" w:hAnsi="仿宋_GB2312" w:cs="仿宋_GB2312"/>
          <w:i w:val="0"/>
          <w:iCs w:val="0"/>
          <w:caps w:val="0"/>
          <w:color w:val="auto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）、较大数额罚款（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个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人处以一万元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以上十万元以下、对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法人或者其他组织处以十万元以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上一百万元以下罚款</w:t>
      </w:r>
      <w:r>
        <w:rPr>
          <w:rFonts w:hint="eastAsia" w:ascii="仿宋_GB2312" w:hAnsi="仿宋_GB2312" w:cs="仿宋_GB2312"/>
          <w:i w:val="0"/>
          <w:iCs w:val="0"/>
          <w:caps w:val="0"/>
          <w:color w:val="auto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）、巨额罚款（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个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人处以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十万元以上、对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法人或者其他组织处以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一百万元以上罚款</w:t>
      </w:r>
      <w:r>
        <w:rPr>
          <w:rFonts w:hint="eastAsia" w:ascii="仿宋_GB2312" w:hAnsi="仿宋_GB2312" w:cs="仿宋_GB2312"/>
          <w:i w:val="0"/>
          <w:iCs w:val="0"/>
          <w:caps w:val="0"/>
          <w:color w:val="auto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）的具体金额。</w:t>
      </w:r>
    </w:p>
    <w:p w14:paraId="332D3C12"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cs="仿宋_GB2312"/>
          <w:color w:val="auto"/>
          <w:sz w:val="32"/>
          <w:szCs w:val="32"/>
          <w:lang w:val="en-US" w:eastAsia="zh-CN"/>
        </w:rPr>
        <w:t>公示期限制定主要依据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《信用修复管理办法》</w:t>
      </w:r>
      <w:r>
        <w:rPr>
          <w:rFonts w:hint="eastAsia" w:ascii="仿宋_GB2312" w:hAnsi="仿宋_GB2312" w:cs="仿宋_GB2312"/>
          <w:color w:val="auto"/>
          <w:sz w:val="32"/>
          <w:szCs w:val="32"/>
          <w:lang w:val="en-US" w:eastAsia="zh-CN"/>
        </w:rPr>
        <w:t>第十二条规定，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按照过罚相当原则，分别设置不同的公示期限。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轻微行政处罚信息原则上不予公示。一般行政处罚信息的最短公示期为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个月，最长为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年。严重行政处罚信息的最短公示期为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年，最长为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年。</w:t>
      </w:r>
      <w:r>
        <w:rPr>
          <w:rFonts w:hint="eastAsia" w:ascii="仿宋_GB2312" w:hAnsi="仿宋_GB2312" w:cs="仿宋_GB2312"/>
          <w:color w:val="auto"/>
          <w:sz w:val="32"/>
          <w:szCs w:val="32"/>
          <w:lang w:val="en-US" w:eastAsia="zh-CN"/>
        </w:rPr>
        <w:t>并明确了信用修复和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不提前终止公示</w:t>
      </w:r>
      <w:r>
        <w:rPr>
          <w:rFonts w:hint="eastAsia" w:ascii="仿宋_GB2312" w:hAnsi="仿宋_GB2312" w:cs="仿宋_GB2312"/>
          <w:color w:val="auto"/>
          <w:sz w:val="32"/>
          <w:szCs w:val="32"/>
          <w:lang w:val="en-US" w:eastAsia="zh-CN"/>
        </w:rPr>
        <w:t>情形等内容。</w:t>
      </w:r>
    </w:p>
    <w:p w14:paraId="7F3E46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信用修复方式途径制定主要依据《信用修复管理办法》第十五条规定，明确申请信用修复的，应向“信用中国”网站申请并提供纠正失信行为、履行法定义务等证明材料，信用承诺书，法律、行政法规、部门规章要求提供的其他材料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2312">
    <w:altName w:val="方正仿宋_GBK"/>
    <w:panose1 w:val="02000000000000000000"/>
    <w:charset w:val="00"/>
    <w:family w:val="auto"/>
    <w:pitch w:val="default"/>
    <w:sig w:usb0="00000000" w:usb1="00000000" w:usb2="00000012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D034CAA"/>
    <w:multiLevelType w:val="singleLevel"/>
    <w:tmpl w:val="4D034CAA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62231C8"/>
    <w:rsid w:val="162231C8"/>
    <w:rsid w:val="75051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 w:line="560" w:lineRule="exact"/>
      <w:ind w:left="0" w:right="0" w:firstLine="0" w:firstLineChars="0"/>
      <w:jc w:val="center"/>
      <w:outlineLvl w:val="0"/>
    </w:pPr>
    <w:rPr>
      <w:rFonts w:hint="default" w:ascii="Times New Roman" w:hAnsi="Times New Roman" w:eastAsia="华文中宋" w:cs="Arial"/>
      <w:b/>
      <w:bCs/>
      <w:color w:val="auto"/>
      <w:kern w:val="0"/>
      <w:sz w:val="44"/>
      <w:szCs w:val="44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 w:line="560" w:lineRule="exact"/>
      <w:ind w:left="0" w:right="0" w:firstLine="420" w:firstLineChars="200"/>
      <w:jc w:val="both"/>
    </w:pPr>
    <w:rPr>
      <w:rFonts w:hint="default" w:ascii="Calibri" w:hAnsi="Calibri" w:eastAsia="仿宋_GB2312" w:cs="Times New Roman"/>
      <w:kern w:val="2"/>
      <w:sz w:val="32"/>
      <w:szCs w:val="32"/>
      <w:lang w:val="en-US" w:eastAsia="zh-CN" w:bidi="ar"/>
    </w:r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uppressAutoHyphens w:val="0"/>
      <w:snapToGrid w:val="0"/>
      <w:jc w:val="left"/>
    </w:pPr>
    <w:rPr>
      <w:rFonts w:ascii="Calibri" w:hAnsi="Calibri" w:eastAsia="宋体" w:cs="Times New Roman"/>
      <w:sz w:val="18"/>
      <w:szCs w:val="18"/>
    </w:rPr>
  </w:style>
  <w:style w:type="paragraph" w:customStyle="1" w:styleId="7">
    <w:name w:val="公文"/>
    <w:basedOn w:val="1"/>
    <w:qFormat/>
    <w:uiPriority w:val="0"/>
    <w:pPr>
      <w:spacing w:line="560" w:lineRule="exact"/>
      <w:ind w:firstLine="880" w:firstLineChars="200"/>
    </w:pPr>
    <w:rPr>
      <w:rFonts w:hint="eastAsia" w:ascii="方正仿宋_GB2312" w:hAnsi="方正仿宋_GB2312" w:eastAsia="仿宋_GB2312" w:cs="Times New Roman"/>
      <w:color w:val="auto"/>
      <w:sz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727</Words>
  <Characters>730</Characters>
  <Lines>0</Lines>
  <Paragraphs>0</Paragraphs>
  <TotalTime>0</TotalTime>
  <ScaleCrop>false</ScaleCrop>
  <LinksUpToDate>false</LinksUpToDate>
  <CharactersWithSpaces>731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2026-09-04T02:54:00Z</dcterms:created>
  <dc:creator>李敏</dc:creator>
  <cp:lastModifiedBy>李敏</cp:lastModifiedBy>
  <dcterms:modified xsi:type="dcterms:W3CDTF">2026-09-04T03:02:35Z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5A18523A4BE94A75B3ABD41C899DC099_11</vt:lpwstr>
  </property>
  <property fmtid="{D5CDD505-2E9C-101B-9397-08002B2CF9AE}" pid="4" name="KSOTemplateDocerSaveRecord">
    <vt:lpwstr>eyJoZGlkIjoiMmUyYmI0NzFiOTllNTNhYjQzN2RiNmRkODVlNjNiM2QiLCJ1c2VySWQiOiIxMDYwMDc1MTc4In0=</vt:lpwstr>
  </property>
</Properties>
</file>