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58F7B5">
      <w:pPr>
        <w:spacing w:line="700" w:lineRule="exact"/>
        <w:jc w:val="center"/>
        <w:rPr>
          <w:rFonts w:hint="eastAsia" w:ascii="华文中宋" w:hAnsi="华文中宋" w:eastAsia="华文中宋"/>
          <w:sz w:val="44"/>
          <w:szCs w:val="44"/>
        </w:rPr>
      </w:pPr>
      <w:bookmarkStart w:id="9" w:name="_GoBack"/>
      <w:bookmarkEnd w:id="9"/>
      <w:r>
        <w:rPr>
          <w:rFonts w:hint="eastAsia" w:ascii="华文中宋" w:hAnsi="华文中宋" w:eastAsia="华文中宋"/>
          <w:sz w:val="44"/>
          <w:szCs w:val="44"/>
        </w:rPr>
        <w:t>《玉米农情监测技术规范》北京市地方标准编制说明</w:t>
      </w:r>
    </w:p>
    <w:p w14:paraId="5123AD06">
      <w:pPr>
        <w:rPr>
          <w:sz w:val="32"/>
        </w:rPr>
      </w:pPr>
    </w:p>
    <w:p w14:paraId="60B1A9F3">
      <w:pPr>
        <w:numPr>
          <w:ilvl w:val="0"/>
          <w:numId w:val="3"/>
        </w:numPr>
        <w:ind w:left="0" w:firstLine="562" w:firstLineChars="200"/>
        <w:rPr>
          <w:rFonts w:hint="eastAsia" w:ascii="仿宋_GB2312" w:hAnsi="仿宋_GB2312" w:eastAsia="仿宋_GB2312" w:cs="仿宋_GB2312"/>
          <w:b/>
          <w:bCs/>
          <w:sz w:val="28"/>
          <w:szCs w:val="21"/>
        </w:rPr>
      </w:pPr>
      <w:r>
        <w:rPr>
          <w:rFonts w:hint="eastAsia" w:ascii="仿宋_GB2312" w:hAnsi="仿宋_GB2312" w:eastAsia="仿宋_GB2312" w:cs="仿宋_GB2312"/>
          <w:b/>
          <w:bCs/>
          <w:sz w:val="28"/>
          <w:szCs w:val="21"/>
        </w:rPr>
        <w:t>任务来源，起草单位，协作单位，主要起草人</w:t>
      </w:r>
    </w:p>
    <w:p w14:paraId="5946E62F">
      <w:pPr>
        <w:ind w:firstLine="630"/>
        <w:rPr>
          <w:rFonts w:ascii="仿宋_GB2312" w:eastAsia="仿宋_GB2312"/>
          <w:sz w:val="28"/>
          <w:szCs w:val="28"/>
        </w:rPr>
      </w:pPr>
      <w:r>
        <w:rPr>
          <w:rFonts w:hint="eastAsia" w:ascii="仿宋_GB2312" w:eastAsia="仿宋_GB2312"/>
          <w:sz w:val="28"/>
          <w:szCs w:val="28"/>
        </w:rPr>
        <w:t>（一）任务来源</w:t>
      </w:r>
    </w:p>
    <w:p w14:paraId="1B92BB5A">
      <w:pPr>
        <w:ind w:firstLine="560" w:firstLineChars="200"/>
        <w:rPr>
          <w:rFonts w:ascii="仿宋_GB2312" w:eastAsia="仿宋_GB2312"/>
          <w:sz w:val="28"/>
          <w:szCs w:val="28"/>
        </w:rPr>
      </w:pPr>
      <w:r>
        <w:rPr>
          <w:rFonts w:hint="eastAsia" w:ascii="仿宋_GB2312" w:eastAsia="仿宋_GB2312"/>
          <w:sz w:val="28"/>
          <w:szCs w:val="28"/>
        </w:rPr>
        <w:t>2026年3月11日，根据北京市市场监督管理局关于印发《2026年北京市地方标准制修订项目计划（第一批）》（京市监函〔2026〕14 号）的通知要求，将《玉米农情监测技术规范》列为2026年北京市地方标准制定项目，项目编号20261015，行业主管单位为北京市农业农村局。</w:t>
      </w:r>
    </w:p>
    <w:p w14:paraId="5E8F1184">
      <w:pPr>
        <w:ind w:firstLine="630"/>
        <w:rPr>
          <w:rFonts w:ascii="仿宋_GB2312" w:eastAsia="仿宋_GB2312"/>
          <w:sz w:val="28"/>
          <w:szCs w:val="28"/>
        </w:rPr>
      </w:pPr>
      <w:r>
        <w:rPr>
          <w:rFonts w:hint="eastAsia" w:ascii="仿宋_GB2312" w:eastAsia="仿宋_GB2312"/>
          <w:sz w:val="28"/>
          <w:szCs w:val="28"/>
        </w:rPr>
        <w:t>（二）起草单位</w:t>
      </w:r>
    </w:p>
    <w:p w14:paraId="383DC159">
      <w:pPr>
        <w:ind w:firstLine="630"/>
        <w:rPr>
          <w:rFonts w:ascii="仿宋_GB2312" w:eastAsia="仿宋_GB2312"/>
          <w:sz w:val="28"/>
          <w:szCs w:val="28"/>
        </w:rPr>
      </w:pPr>
      <w:r>
        <w:rPr>
          <w:rFonts w:hint="eastAsia" w:ascii="仿宋_GB2312" w:eastAsia="仿宋_GB2312"/>
          <w:sz w:val="28"/>
          <w:szCs w:val="28"/>
        </w:rPr>
        <w:t>北京市农业技术推广站</w:t>
      </w:r>
    </w:p>
    <w:p w14:paraId="11B353AF">
      <w:pPr>
        <w:ind w:firstLine="630"/>
        <w:rPr>
          <w:rFonts w:ascii="仿宋_GB2312" w:eastAsia="仿宋_GB2312"/>
          <w:sz w:val="28"/>
          <w:szCs w:val="28"/>
        </w:rPr>
      </w:pPr>
      <w:r>
        <w:rPr>
          <w:rFonts w:hint="eastAsia" w:ascii="仿宋_GB2312" w:eastAsia="仿宋_GB2312"/>
          <w:sz w:val="28"/>
          <w:szCs w:val="28"/>
        </w:rPr>
        <w:t>（三）协作单位</w:t>
      </w:r>
    </w:p>
    <w:p w14:paraId="7D9E0CF9">
      <w:pPr>
        <w:ind w:firstLine="1120" w:firstLineChars="400"/>
        <w:jc w:val="left"/>
        <w:rPr>
          <w:rFonts w:ascii="仿宋_GB2312" w:eastAsia="仿宋_GB2312"/>
          <w:sz w:val="28"/>
          <w:szCs w:val="28"/>
        </w:rPr>
      </w:pPr>
      <w:r>
        <w:rPr>
          <w:rFonts w:hint="eastAsia" w:ascii="仿宋_GB2312" w:eastAsia="仿宋_GB2312"/>
          <w:sz w:val="28"/>
          <w:szCs w:val="28"/>
        </w:rPr>
        <w:t>无</w:t>
      </w:r>
    </w:p>
    <w:p w14:paraId="1D574385">
      <w:pPr>
        <w:ind w:firstLine="630"/>
        <w:rPr>
          <w:rFonts w:ascii="仿宋_GB2312" w:eastAsia="仿宋_GB2312"/>
          <w:sz w:val="28"/>
          <w:szCs w:val="28"/>
        </w:rPr>
      </w:pPr>
      <w:r>
        <w:rPr>
          <w:rFonts w:hint="eastAsia" w:ascii="仿宋_GB2312" w:eastAsia="仿宋_GB2312"/>
          <w:sz w:val="28"/>
          <w:szCs w:val="28"/>
        </w:rPr>
        <w:t>（四）主要起草人</w:t>
      </w:r>
    </w:p>
    <w:p w14:paraId="0C7B65D0">
      <w:pPr>
        <w:spacing w:line="360" w:lineRule="auto"/>
        <w:ind w:left="-62"/>
        <w:rPr>
          <w:rFonts w:eastAsia="仿宋"/>
          <w:sz w:val="28"/>
          <w:szCs w:val="28"/>
        </w:rPr>
      </w:pPr>
    </w:p>
    <w:p w14:paraId="7B016052">
      <w:pPr>
        <w:spacing w:line="360" w:lineRule="auto"/>
        <w:ind w:left="-62"/>
        <w:rPr>
          <w:rFonts w:hint="eastAsia" w:ascii="仿宋_GB2312" w:hAnsi="仿宋_GB2312" w:eastAsia="仿宋_GB2312" w:cs="仿宋_GB2312"/>
          <w:b/>
          <w:bCs/>
          <w:sz w:val="28"/>
          <w:szCs w:val="21"/>
        </w:rPr>
      </w:pPr>
      <w:r>
        <w:rPr>
          <w:rFonts w:hint="eastAsia" w:eastAsia="仿宋"/>
          <w:sz w:val="28"/>
          <w:szCs w:val="28"/>
        </w:rPr>
        <w:t xml:space="preserve">    </w:t>
      </w:r>
      <w:r>
        <w:rPr>
          <w:rFonts w:hint="eastAsia" w:ascii="仿宋_GB2312" w:hAnsi="仿宋_GB2312" w:eastAsia="仿宋_GB2312" w:cs="仿宋_GB2312"/>
          <w:b/>
          <w:bCs/>
          <w:sz w:val="28"/>
          <w:szCs w:val="21"/>
        </w:rPr>
        <w:t>二、制定标准的必要性和意义。</w:t>
      </w:r>
    </w:p>
    <w:p w14:paraId="6E35B29A">
      <w:pPr>
        <w:spacing w:line="560" w:lineRule="exact"/>
        <w:ind w:firstLine="560" w:firstLineChars="200"/>
        <w:rPr>
          <w:rFonts w:ascii="仿宋_GB2312" w:eastAsia="仿宋_GB2312"/>
          <w:sz w:val="28"/>
          <w:szCs w:val="28"/>
        </w:rPr>
      </w:pPr>
      <w:r>
        <w:rPr>
          <w:rFonts w:hint="eastAsia" w:ascii="仿宋_GB2312" w:eastAsia="仿宋_GB2312"/>
          <w:sz w:val="28"/>
          <w:szCs w:val="28"/>
        </w:rPr>
        <w:t xml:space="preserve">（一）必要性  </w:t>
      </w:r>
    </w:p>
    <w:p w14:paraId="05826267">
      <w:pPr>
        <w:ind w:firstLine="560" w:firstLineChars="200"/>
        <w:rPr>
          <w:rFonts w:ascii="仿宋_GB2312" w:eastAsia="仿宋_GB2312"/>
          <w:sz w:val="28"/>
          <w:szCs w:val="28"/>
        </w:rPr>
      </w:pPr>
      <w:r>
        <w:rPr>
          <w:rFonts w:hint="eastAsia" w:ascii="仿宋_GB2312" w:eastAsia="仿宋_GB2312"/>
          <w:sz w:val="28"/>
          <w:szCs w:val="28"/>
        </w:rPr>
        <w:t>1. 稳定粮食生产是保障首都安全与发展的战略刚需</w:t>
      </w:r>
    </w:p>
    <w:p w14:paraId="7605BDCA">
      <w:pPr>
        <w:ind w:firstLine="560" w:firstLineChars="200"/>
        <w:rPr>
          <w:rFonts w:ascii="仿宋_GB2312" w:eastAsia="仿宋_GB2312"/>
          <w:sz w:val="28"/>
          <w:szCs w:val="28"/>
        </w:rPr>
      </w:pPr>
      <w:r>
        <w:rPr>
          <w:rFonts w:hint="eastAsia" w:ascii="仿宋_GB2312" w:eastAsia="仿宋_GB2312"/>
          <w:sz w:val="28"/>
          <w:szCs w:val="28"/>
        </w:rPr>
        <w:t>习近平总书记强调，粮食安全是 “国之大者”，必须把确保粮食供给作为首要任务。北京市作为常住人口超 2100 万的特大城市和典型粮食主销区，粮食供给高度依赖外部调入，在国内外形势复杂多变、供应链不确定性增加的背景下，提升本地粮食自给能力和应急保障能力，是维护城市经济社会稳定、实现可持续发展的底线要求。为此，本市严格落实粮食安全党政同责，先后出台《北京市乡村振兴战略规划（2018—2022年）》、《北京市粮食生产能力提升建设三年行动方案（2023—2025年）》及促进粮食生产管理工作方案等文件，围绕稳定播种面积、提高单产水平、提升种粮效益持续发力。但北京地处冬小麦-夏玉米一年两熟制区域最北边缘，光、温、水气候条件与周边主产区差异明显，难以直接照搬外地品种与技术模式；同时受水土资源紧张、生产成本偏高、产后加工链条短、产业增值空间不足等多重约束，粮食生产普遍存在技术应用不足、要素利用粗放、单产和效益偏低等问题，迫切需要通过系统化、标准化手段破解发展瓶颈。</w:t>
      </w:r>
    </w:p>
    <w:p w14:paraId="554EED4F">
      <w:pPr>
        <w:ind w:firstLine="560" w:firstLineChars="200"/>
        <w:rPr>
          <w:rFonts w:ascii="仿宋_GB2312" w:eastAsia="仿宋_GB2312"/>
          <w:sz w:val="28"/>
          <w:szCs w:val="28"/>
        </w:rPr>
      </w:pPr>
      <w:r>
        <w:rPr>
          <w:rFonts w:hint="eastAsia" w:ascii="仿宋_GB2312" w:eastAsia="仿宋_GB2312"/>
          <w:sz w:val="28"/>
          <w:szCs w:val="28"/>
        </w:rPr>
        <w:t>2. 玉米是首都粮食安全和农民增收的重要支柱作物</w:t>
      </w:r>
    </w:p>
    <w:p w14:paraId="4FF2E483">
      <w:pPr>
        <w:ind w:firstLine="560" w:firstLineChars="200"/>
        <w:rPr>
          <w:rFonts w:ascii="仿宋_GB2312" w:eastAsia="仿宋_GB2312"/>
          <w:sz w:val="28"/>
          <w:szCs w:val="28"/>
        </w:rPr>
      </w:pPr>
      <w:r>
        <w:rPr>
          <w:rFonts w:hint="eastAsia" w:ascii="仿宋_GB2312" w:eastAsia="仿宋_GB2312"/>
          <w:sz w:val="28"/>
          <w:szCs w:val="28"/>
        </w:rPr>
        <w:t>玉米是北京市第一大粮食作物，全市 13 个农业区均有种植。延庆、怀柔、密云等 9个区作为主产区，种植面积均在万亩以上。自 2020年以来，全市玉米面积和产量实现 “五连增”，产业布局持续优化，在主销区粮食保供中发挥着压舱石作用。2025年全市籽粒玉米播种面积 94.1万亩，占秋粮 92.9%、占全年粮食 63.4%；总产量 39.7万吨，占秋粮95.2%、占全年粮食66.7%；青贮玉米、鲜食玉米面积分别达到14.2万亩和 4.4万亩，呈稳步扩大态势。玉米产业不仅直接带动农民增收、支撑乡村发展，还满足了都市多元化消费需求。同时，玉米生育期雨热同步，适宜雨养旱作种植，能够高效利用自然降水，兼具防风固沙、改善农田生态的功能。尽管本市已创建出一批高产田并屡创高产纪录，但受资源环境约束，整体生产水平仍不均衡，产业潜力尚未充分释放。</w:t>
      </w:r>
    </w:p>
    <w:p w14:paraId="34355640">
      <w:pPr>
        <w:ind w:firstLine="560" w:firstLineChars="200"/>
        <w:rPr>
          <w:rFonts w:ascii="仿宋_GB2312" w:eastAsia="仿宋_GB2312"/>
          <w:sz w:val="28"/>
          <w:szCs w:val="28"/>
        </w:rPr>
      </w:pPr>
      <w:r>
        <w:rPr>
          <w:rFonts w:hint="eastAsia" w:ascii="仿宋_GB2312" w:eastAsia="仿宋_GB2312"/>
          <w:sz w:val="28"/>
          <w:szCs w:val="28"/>
        </w:rPr>
        <w:t>3. 农情监测是科学决策与精准生产指导的关键依据</w:t>
      </w:r>
    </w:p>
    <w:p w14:paraId="7D3A94DC">
      <w:pPr>
        <w:ind w:firstLine="560" w:firstLineChars="200"/>
        <w:rPr>
          <w:rFonts w:ascii="仿宋_GB2312" w:eastAsia="仿宋_GB2312"/>
          <w:sz w:val="28"/>
          <w:szCs w:val="28"/>
        </w:rPr>
      </w:pPr>
      <w:r>
        <w:rPr>
          <w:rFonts w:hint="eastAsia" w:ascii="仿宋_GB2312" w:eastAsia="仿宋_GB2312"/>
          <w:sz w:val="28"/>
          <w:szCs w:val="28"/>
        </w:rPr>
        <w:t>农情监测涵盖苗情、墒情、灾情、成本效益等核心内容，是现代农业管理的重要基础。通过系统监测，可以准确预判作物生长趋势，实现水肥药精准调控，减少资源浪费与农业面源污染，推动低碳高效生产；可以及时掌握旱、涝、冻、病虫害等灾害发生范围与损失程度，支撑应急处置与灾后恢复生产；可以动态跟踪种子、化肥、农药等农资成本及市场销售情况，全面把握产业运行态势。监测成果既是政府部门优化补贴政策、调整种植结构、制定生产计划的重要数据支撑，也是农技推广部门发布管理意见、指导农户科学种植的关键依据，同时可为农业保险定损、惠农政策落地提供可靠数据支持。</w:t>
      </w:r>
    </w:p>
    <w:p w14:paraId="4B6DC44A">
      <w:pPr>
        <w:ind w:firstLine="560" w:firstLineChars="200"/>
        <w:rPr>
          <w:rFonts w:ascii="仿宋_GB2312" w:eastAsia="仿宋_GB2312"/>
          <w:sz w:val="28"/>
          <w:szCs w:val="28"/>
        </w:rPr>
      </w:pPr>
      <w:r>
        <w:rPr>
          <w:rFonts w:hint="eastAsia" w:ascii="仿宋_GB2312" w:eastAsia="仿宋_GB2312"/>
          <w:sz w:val="28"/>
          <w:szCs w:val="28"/>
        </w:rPr>
        <w:t>4. 现有监测标准不匹配北京实际，亟需地方规范填补空白</w:t>
      </w:r>
    </w:p>
    <w:p w14:paraId="49ECA2CE">
      <w:pPr>
        <w:ind w:firstLine="560" w:firstLineChars="200"/>
        <w:rPr>
          <w:rFonts w:ascii="仿宋_GB2312" w:eastAsia="仿宋_GB2312"/>
          <w:sz w:val="28"/>
          <w:szCs w:val="28"/>
        </w:rPr>
      </w:pPr>
      <w:r>
        <w:rPr>
          <w:rFonts w:hint="eastAsia" w:ascii="仿宋_GB2312" w:eastAsia="仿宋_GB2312"/>
          <w:sz w:val="28"/>
          <w:szCs w:val="28"/>
        </w:rPr>
        <w:t>北京市玉米分属东华北中晚熟春玉米区和京津冀早熟夏玉米区，籽粒、鲜食、青贮三种类型并存，品种布局、生育进程、苗情评价指标等均具有显著地域特殊性。同时，本市都市型农业以 “高产、优质、高效、生态、安全” 为目标，对标准化、品牌化、产业增效要求更高。目前国家及其他地区的监测规范多集中于苗情长势监测，对成本效益等内容覆盖不足，难以全面反映产业发展水平和趋势。加之农业机构改革、监测队伍新老交替等原因，基层监测人员业务能力参差不齐，直接影响数据的科学性、一致性和准确性。北京玉米产业的独特性决定了无法照搬现有标准，亟需制定一套贴合本地生产实际、科学严谨、操作性强的农情监测技术规范，为全市监测工作提供统一遵循。</w:t>
      </w:r>
    </w:p>
    <w:p w14:paraId="663E1DF2">
      <w:pPr>
        <w:spacing w:line="560" w:lineRule="exact"/>
        <w:ind w:firstLine="560" w:firstLineChars="200"/>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（二）意义</w:t>
      </w:r>
    </w:p>
    <w:p w14:paraId="1095DA76">
      <w:pPr>
        <w:ind w:firstLine="560" w:firstLineChars="200"/>
        <w:rPr>
          <w:rFonts w:ascii="仿宋_GB2312" w:eastAsia="仿宋_GB2312"/>
          <w:sz w:val="28"/>
          <w:szCs w:val="28"/>
        </w:rPr>
      </w:pPr>
      <w:r>
        <w:rPr>
          <w:rFonts w:hint="eastAsia" w:ascii="仿宋_GB2312" w:eastAsia="仿宋_GB2312"/>
          <w:sz w:val="28"/>
          <w:szCs w:val="28"/>
        </w:rPr>
        <w:t>1. 统一技术要求，全面提升玉米农情监测规范化水平</w:t>
      </w:r>
    </w:p>
    <w:p w14:paraId="5FEA9923">
      <w:pPr>
        <w:ind w:firstLine="560" w:firstLineChars="200"/>
        <w:rPr>
          <w:rFonts w:ascii="仿宋_GB2312" w:eastAsia="仿宋_GB2312"/>
          <w:sz w:val="28"/>
          <w:szCs w:val="28"/>
        </w:rPr>
      </w:pPr>
      <w:r>
        <w:rPr>
          <w:rFonts w:hint="eastAsia" w:ascii="仿宋_GB2312" w:eastAsia="仿宋_GB2312"/>
          <w:sz w:val="28"/>
          <w:szCs w:val="28"/>
        </w:rPr>
        <w:t>北京市农业技术推广站长期开展玉米、小麦等主要粮食作物农情监测工作。在玉米监测方面，自2010年开始，北京市农业技术推广站在延庆、顺义、大兴等主产区建立农情监测点。截至 2025 年底，累计建设监测点 1200 余个，在玉米关键生育期持续开展田间调查与数据采集。制定本标准，可对监测地块选取、整地播种、品种与播期管理，以及出苗、拔节、大喇叭口期、抽雄、吐丝、成熟等关键生育期的墒情、长势、灾害、病虫害、田间管理、产量构成因素及成本效益调查等内容进行系统规范，从源头统一监测方法、指标与流程，显著提升数据质量和工作规范性，保障全市农情监测结果可比、可信、可用。</w:t>
      </w:r>
    </w:p>
    <w:p w14:paraId="4601BD5D">
      <w:pPr>
        <w:ind w:firstLine="560" w:firstLineChars="200"/>
        <w:rPr>
          <w:rFonts w:ascii="仿宋_GB2312" w:eastAsia="仿宋_GB2312"/>
          <w:sz w:val="28"/>
          <w:szCs w:val="28"/>
        </w:rPr>
      </w:pPr>
      <w:r>
        <w:rPr>
          <w:rFonts w:hint="eastAsia" w:ascii="仿宋_GB2312" w:eastAsia="仿宋_GB2312"/>
          <w:sz w:val="28"/>
          <w:szCs w:val="28"/>
        </w:rPr>
        <w:t>2. 强化数据支撑，为决策管理和生产服务提供精准依据</w:t>
      </w:r>
    </w:p>
    <w:p w14:paraId="4BCA76F8">
      <w:pPr>
        <w:ind w:firstLine="560" w:firstLineChars="200"/>
        <w:rPr>
          <w:rFonts w:ascii="仿宋_GB2312" w:eastAsia="仿宋_GB2312"/>
          <w:sz w:val="28"/>
          <w:szCs w:val="28"/>
        </w:rPr>
      </w:pPr>
      <w:r>
        <w:rPr>
          <w:rFonts w:hint="eastAsia" w:ascii="仿宋_GB2312" w:eastAsia="仿宋_GB2312"/>
          <w:sz w:val="28"/>
          <w:szCs w:val="28"/>
        </w:rPr>
        <w:t>市农业技术推广站每年对监测数据进行汇总、分析与上报，为市级农业主管部门提供玉米生产形势分析、产量预测、秋收指导等重要数据支撑，相关成果直接服务于良种更换、“三秋” 工作、年度种植业意见等政策文件制定。监测标准的制定，将进一步提高数据时效性与准确性，为优化种植补贴、结构调整、良种推广、防灾减灾等决策提供更可靠依据。同时，可依托规范数据，通过线上线下多种渠道精准发布春玉米、夏玉米生产管理及汛期防灾等技术指导意见，提升对基层推广部门和种植主体的服务效能，真正实现 “监测-分析-决策-指导” 闭环落地。</w:t>
      </w:r>
    </w:p>
    <w:p w14:paraId="3142EE4C">
      <w:pPr>
        <w:ind w:firstLine="560" w:firstLineChars="200"/>
        <w:rPr>
          <w:rFonts w:ascii="仿宋_GB2312" w:eastAsia="仿宋_GB2312"/>
          <w:sz w:val="28"/>
          <w:szCs w:val="28"/>
        </w:rPr>
      </w:pPr>
      <w:r>
        <w:rPr>
          <w:rFonts w:hint="eastAsia" w:ascii="仿宋_GB2312" w:eastAsia="仿宋_GB2312"/>
          <w:sz w:val="28"/>
          <w:szCs w:val="28"/>
        </w:rPr>
        <w:t>3. 健全监测长效机制，提升监测队伍业务能力与成果质量</w:t>
      </w:r>
    </w:p>
    <w:p w14:paraId="780FABFF">
      <w:pPr>
        <w:ind w:firstLine="560" w:firstLineChars="200"/>
        <w:rPr>
          <w:rFonts w:ascii="仿宋_GB2312" w:eastAsia="仿宋_GB2312"/>
          <w:sz w:val="28"/>
          <w:szCs w:val="28"/>
        </w:rPr>
      </w:pPr>
      <w:r>
        <w:rPr>
          <w:rFonts w:hint="eastAsia" w:ascii="仿宋_GB2312" w:eastAsia="仿宋_GB2312"/>
          <w:sz w:val="28"/>
          <w:szCs w:val="28"/>
        </w:rPr>
        <w:t>当前农情监测工作受人员新老交替、业务水平参差不齐等因素影响，存在调查方法不统一、数据记录不规范、结果判定不一致等问题，直接影响全市农情监测成果的科学性与权威性。本标准围绕监测人员实操需求，明确田间调查步骤、数据采集规范、指标判定标准等具体要求，可有效统一监测人员技术口径，强化业务培训与工作考核，提升基层监测队伍专业化、规范化水平。通过建立标准化、制度化、常态化的监测工作机制，能够持续稳定产出高质量监测数据，为首都玉米生产动态跟踪、形势研判和产业预警提供坚实保障。</w:t>
      </w:r>
    </w:p>
    <w:p w14:paraId="26791CE0">
      <w:pPr>
        <w:pStyle w:val="9"/>
        <w:numPr>
          <w:ilvl w:val="0"/>
          <w:numId w:val="4"/>
        </w:numPr>
        <w:tabs>
          <w:tab w:val="left" w:pos="630"/>
        </w:tabs>
        <w:ind w:firstLineChars="0"/>
        <w:rPr>
          <w:rFonts w:hint="eastAsia" w:ascii="仿宋_GB2312" w:hAnsi="仿宋_GB2312" w:eastAsia="仿宋_GB2312" w:cs="仿宋_GB2312"/>
          <w:b/>
          <w:bCs/>
          <w:sz w:val="28"/>
          <w:szCs w:val="21"/>
        </w:rPr>
      </w:pPr>
      <w:r>
        <w:rPr>
          <w:rFonts w:hint="eastAsia" w:ascii="仿宋_GB2312" w:hAnsi="仿宋_GB2312" w:eastAsia="仿宋_GB2312" w:cs="仿宋_GB2312"/>
          <w:b/>
          <w:bCs/>
          <w:sz w:val="28"/>
          <w:szCs w:val="21"/>
        </w:rPr>
        <w:t>适用对象基本情况。</w:t>
      </w:r>
    </w:p>
    <w:p w14:paraId="481418A8">
      <w:pPr>
        <w:ind w:firstLine="630"/>
        <w:rPr>
          <w:rFonts w:ascii="仿宋_GB2312" w:eastAsia="仿宋_GB2312"/>
          <w:sz w:val="28"/>
          <w:szCs w:val="28"/>
          <w:highlight w:val="yellow"/>
        </w:rPr>
      </w:pPr>
      <w:r>
        <w:rPr>
          <w:rFonts w:hint="eastAsia" w:ascii="仿宋_GB2312" w:eastAsia="仿宋_GB2312"/>
          <w:sz w:val="28"/>
          <w:szCs w:val="28"/>
        </w:rPr>
        <w:t>适用对象为市区镇等各级农技部门、种植主体管理和技术人员及其他玉米产业相关人员。依据标准可对全市110余万亩玉米（根据播种面积统计数据，2025年全市籽粒玉米94.1万亩，青贮玉米14.2万亩，鲜食玉米4.4万亩）进行科学、合理的农情监测。</w:t>
      </w:r>
    </w:p>
    <w:p w14:paraId="2BB6C802">
      <w:pPr>
        <w:pStyle w:val="9"/>
        <w:numPr>
          <w:ilvl w:val="0"/>
          <w:numId w:val="4"/>
        </w:numPr>
        <w:tabs>
          <w:tab w:val="left" w:pos="630"/>
        </w:tabs>
        <w:ind w:firstLineChars="0"/>
        <w:rPr>
          <w:rFonts w:hint="eastAsia" w:ascii="仿宋_GB2312" w:hAnsi="仿宋_GB2312" w:eastAsia="仿宋_GB2312" w:cs="仿宋_GB2312"/>
          <w:b/>
          <w:bCs/>
          <w:sz w:val="28"/>
          <w:szCs w:val="21"/>
        </w:rPr>
      </w:pPr>
      <w:r>
        <w:rPr>
          <w:rFonts w:hint="eastAsia" w:ascii="仿宋_GB2312" w:hAnsi="仿宋_GB2312" w:eastAsia="仿宋_GB2312" w:cs="仿宋_GB2312"/>
          <w:b/>
          <w:bCs/>
          <w:sz w:val="28"/>
          <w:szCs w:val="21"/>
        </w:rPr>
        <w:t>主要起草过程</w:t>
      </w:r>
    </w:p>
    <w:p w14:paraId="7FC9BB18">
      <w:pPr>
        <w:ind w:firstLine="645"/>
        <w:rPr>
          <w:rFonts w:ascii="仿宋_GB2312" w:eastAsia="仿宋_GB2312"/>
          <w:sz w:val="28"/>
          <w:szCs w:val="28"/>
        </w:rPr>
      </w:pPr>
      <w:r>
        <w:rPr>
          <w:rFonts w:hint="eastAsia" w:ascii="仿宋_GB2312" w:eastAsia="仿宋_GB2312"/>
          <w:sz w:val="28"/>
          <w:szCs w:val="28"/>
        </w:rPr>
        <w:t>2025年1月—12月，作为起草单位，北京市农业技术推广站开展前期调研，了解基层农技人员在玉米农情监测工作中遇到技术问题和难点，并大量收集、整理和分析国内外在该领域的相关技术资料。同时整理近年来研究成果，结合相关文献资料，初步确定玉米农情监测技术规范主要内容。</w:t>
      </w:r>
    </w:p>
    <w:p w14:paraId="7D7B4CBC">
      <w:pPr>
        <w:ind w:firstLine="645"/>
        <w:rPr>
          <w:rFonts w:ascii="仿宋_GB2312" w:eastAsia="仿宋_GB2312"/>
          <w:sz w:val="28"/>
          <w:szCs w:val="28"/>
        </w:rPr>
      </w:pPr>
      <w:r>
        <w:rPr>
          <w:rFonts w:hint="eastAsia" w:ascii="仿宋_GB2312" w:eastAsia="仿宋_GB2312"/>
          <w:sz w:val="28"/>
          <w:szCs w:val="28"/>
        </w:rPr>
        <w:t>2025年12月23日，北京市农业农村局、北京市农业农村标准化技术委员会召开标准立项论证会，经论证后向北京市市场监督管理局正式提交了《玉米农情监测技术规范》的地方标准立项申请。</w:t>
      </w:r>
    </w:p>
    <w:p w14:paraId="285C9B19">
      <w:pPr>
        <w:ind w:firstLine="645"/>
        <w:rPr>
          <w:rFonts w:ascii="仿宋_GB2312" w:eastAsia="仿宋_GB2312"/>
          <w:sz w:val="28"/>
          <w:szCs w:val="22"/>
        </w:rPr>
      </w:pPr>
      <w:r>
        <w:rPr>
          <w:rFonts w:hint="eastAsia" w:ascii="仿宋_GB2312" w:eastAsia="仿宋_GB2312"/>
          <w:sz w:val="28"/>
          <w:szCs w:val="28"/>
        </w:rPr>
        <w:t>2026年3月11日，北京市市场监督管理局印发《2026年北京市地方标准制修订项目计划（第一批）》（京市监函〔2026〕14 号），将《玉米农情监测技术规范》</w:t>
      </w:r>
      <w:r>
        <w:rPr>
          <w:rFonts w:hint="eastAsia" w:ascii="仿宋_GB2312" w:eastAsia="仿宋_GB2312"/>
          <w:sz w:val="28"/>
          <w:szCs w:val="22"/>
        </w:rPr>
        <w:t>列为2026年北京市地方标准制定项目，</w:t>
      </w:r>
      <w:r>
        <w:rPr>
          <w:rFonts w:hint="eastAsia" w:ascii="仿宋_GB2312" w:eastAsia="仿宋_GB2312"/>
          <w:sz w:val="28"/>
          <w:szCs w:val="28"/>
        </w:rPr>
        <w:t>项目编号20261015</w:t>
      </w:r>
      <w:r>
        <w:rPr>
          <w:rFonts w:hint="eastAsia" w:ascii="仿宋_GB2312" w:eastAsia="仿宋_GB2312"/>
          <w:sz w:val="28"/>
          <w:szCs w:val="22"/>
        </w:rPr>
        <w:t>。获得立项批准后，标准起草单位明确了人员责任分工与任务要求。</w:t>
      </w:r>
    </w:p>
    <w:p w14:paraId="262F8D5B">
      <w:pPr>
        <w:ind w:firstLine="645"/>
        <w:rPr>
          <w:rFonts w:ascii="仿宋_GB2312" w:eastAsia="仿宋_GB2312"/>
          <w:sz w:val="28"/>
          <w:szCs w:val="22"/>
        </w:rPr>
      </w:pPr>
      <w:r>
        <w:rPr>
          <w:rFonts w:hint="eastAsia" w:ascii="仿宋_GB2312" w:eastAsia="仿宋_GB2312"/>
          <w:sz w:val="28"/>
          <w:szCs w:val="22"/>
        </w:rPr>
        <w:t>2026年3月—5月，起草组征求中国农业大学、中国农业科学院、北京农林科学院、北京农学院及部分主产区推广部门相关栽培、植保领域专家意见，根据反馈意见对标准草稿正文和引用文件进行修改、调整，</w:t>
      </w:r>
      <w:r>
        <w:rPr>
          <w:rFonts w:ascii="仿宋_GB2312" w:eastAsia="仿宋_GB2312"/>
          <w:sz w:val="28"/>
          <w:szCs w:val="22"/>
        </w:rPr>
        <w:t>形成了《</w:t>
      </w:r>
      <w:r>
        <w:rPr>
          <w:rFonts w:hint="eastAsia" w:ascii="仿宋_GB2312" w:eastAsia="仿宋_GB2312"/>
          <w:sz w:val="28"/>
          <w:szCs w:val="22"/>
        </w:rPr>
        <w:t>玉米农情监测技术规范</w:t>
      </w:r>
      <w:r>
        <w:rPr>
          <w:rFonts w:ascii="仿宋_GB2312" w:eastAsia="仿宋_GB2312"/>
          <w:sz w:val="28"/>
          <w:szCs w:val="22"/>
        </w:rPr>
        <w:t>（征求意见稿）》。</w:t>
      </w:r>
    </w:p>
    <w:p w14:paraId="6039A7B5">
      <w:pPr>
        <w:ind w:firstLine="645"/>
        <w:rPr>
          <w:rFonts w:ascii="仿宋_GB2312" w:eastAsia="仿宋_GB2312"/>
          <w:sz w:val="28"/>
          <w:szCs w:val="28"/>
        </w:rPr>
      </w:pPr>
      <w:r>
        <w:rPr>
          <w:rFonts w:hint="eastAsia" w:ascii="仿宋_GB2312" w:eastAsia="仿宋_GB2312"/>
          <w:sz w:val="28"/>
          <w:szCs w:val="28"/>
        </w:rPr>
        <w:t>2026年6月17日，</w:t>
      </w:r>
      <w:r>
        <w:rPr>
          <w:rFonts w:ascii="仿宋_GB2312" w:eastAsia="仿宋_GB2312"/>
          <w:sz w:val="28"/>
          <w:szCs w:val="28"/>
        </w:rPr>
        <w:t>北京市农业农村局组织召开了《玉米农情监测技术规范》地方标准预审会，来自作物栽培、玉米育种、农技推广和标准化等领域的5位专家参加了会议</w:t>
      </w:r>
      <w:r>
        <w:rPr>
          <w:rFonts w:hint="eastAsia" w:ascii="仿宋_GB2312" w:eastAsia="仿宋_GB2312"/>
          <w:sz w:val="28"/>
          <w:szCs w:val="28"/>
        </w:rPr>
        <w:t>。与会专家</w:t>
      </w:r>
      <w:r>
        <w:rPr>
          <w:rFonts w:ascii="仿宋_GB2312" w:eastAsia="仿宋_GB2312"/>
          <w:sz w:val="28"/>
          <w:szCs w:val="28"/>
        </w:rPr>
        <w:t>听取了编制情况汇报，并对标准文本进行了审查，并提出了修改意见。专家组对标准提出了以下主要修改意见：</w:t>
      </w:r>
      <w:r>
        <w:rPr>
          <w:rFonts w:hint="eastAsia" w:ascii="仿宋_GB2312" w:eastAsia="仿宋_GB2312"/>
          <w:sz w:val="28"/>
          <w:szCs w:val="28"/>
        </w:rPr>
        <w:t>删除引用标准“GB/T 17296、GB/T 20524、NY/T 889、NY/T 1121.6、NY/T 1121.7、NY/T 1121.9、NY/T 3253”，“5.6.6 遥感监测”、“5.8水、肥和人工利用效果”；修改“5.4 生育时期”为“5.4 苗情监测”，“5.6 主要灾害”为“5.5主要灾害监测”，“5.7.1 种植成本和销售单价”为“5.6.1 种植成本”；增加“主要灾害监测标准和方法”相关附录，“5.6.2 销售单价”； 将“4.2 监测样点”、“5.5 苗情长势”、“5.7.2.1 玉米产量”相关内容整合至“5.4 苗情监测”；其他文字和编辑性修改。</w:t>
      </w:r>
      <w:r>
        <w:rPr>
          <w:rFonts w:ascii="仿宋_GB2312" w:eastAsia="仿宋_GB2312"/>
          <w:sz w:val="28"/>
          <w:szCs w:val="28"/>
        </w:rPr>
        <w:t>专家组一致同意《玉米农情监测技术规范》通过审查。起草组根据</w:t>
      </w:r>
      <w:r>
        <w:rPr>
          <w:rFonts w:hint="eastAsia" w:ascii="仿宋_GB2312" w:eastAsia="仿宋_GB2312"/>
          <w:sz w:val="28"/>
          <w:szCs w:val="28"/>
        </w:rPr>
        <w:t>预审会</w:t>
      </w:r>
      <w:r>
        <w:rPr>
          <w:rFonts w:ascii="仿宋_GB2312" w:eastAsia="仿宋_GB2312"/>
          <w:sz w:val="28"/>
          <w:szCs w:val="28"/>
        </w:rPr>
        <w:t>专家</w:t>
      </w:r>
      <w:r>
        <w:rPr>
          <w:rFonts w:hint="eastAsia" w:ascii="仿宋_GB2312" w:eastAsia="仿宋_GB2312"/>
          <w:sz w:val="28"/>
          <w:szCs w:val="28"/>
        </w:rPr>
        <w:t>及相关领域专家的</w:t>
      </w:r>
      <w:r>
        <w:rPr>
          <w:rFonts w:ascii="仿宋_GB2312" w:eastAsia="仿宋_GB2312"/>
          <w:sz w:val="28"/>
          <w:szCs w:val="28"/>
        </w:rPr>
        <w:t>意见</w:t>
      </w:r>
      <w:r>
        <w:rPr>
          <w:rFonts w:hint="eastAsia" w:ascii="仿宋_GB2312" w:eastAsia="仿宋_GB2312"/>
          <w:sz w:val="28"/>
          <w:szCs w:val="28"/>
        </w:rPr>
        <w:t>，进一步补充、修改和</w:t>
      </w:r>
      <w:r>
        <w:rPr>
          <w:rFonts w:ascii="仿宋_GB2312" w:eastAsia="仿宋_GB2312"/>
          <w:sz w:val="28"/>
          <w:szCs w:val="28"/>
        </w:rPr>
        <w:t>完善了征求意见稿。</w:t>
      </w:r>
    </w:p>
    <w:p w14:paraId="0962467B">
      <w:pPr>
        <w:numPr>
          <w:ilvl w:val="0"/>
          <w:numId w:val="4"/>
        </w:numPr>
        <w:tabs>
          <w:tab w:val="left" w:pos="630"/>
        </w:tabs>
        <w:ind w:left="0" w:firstLine="562" w:firstLineChars="200"/>
        <w:rPr>
          <w:rFonts w:hint="eastAsia" w:ascii="仿宋_GB2312" w:hAnsi="仿宋_GB2312" w:eastAsia="仿宋_GB2312" w:cs="仿宋_GB2312"/>
          <w:b/>
          <w:bCs/>
          <w:sz w:val="28"/>
          <w:szCs w:val="21"/>
        </w:rPr>
      </w:pPr>
      <w:r>
        <w:rPr>
          <w:rFonts w:hint="eastAsia" w:ascii="仿宋_GB2312" w:hAnsi="仿宋_GB2312" w:eastAsia="仿宋_GB2312" w:cs="仿宋_GB2312"/>
          <w:b/>
          <w:bCs/>
          <w:sz w:val="28"/>
          <w:szCs w:val="21"/>
        </w:rPr>
        <w:t>制定标准的原则和依据，与现行法律法规、标准的关系，与国内外同类标准水平的对比情况。</w:t>
      </w:r>
    </w:p>
    <w:p w14:paraId="37632CD7">
      <w:pPr>
        <w:pStyle w:val="9"/>
        <w:numPr>
          <w:ilvl w:val="0"/>
          <w:numId w:val="5"/>
        </w:numPr>
        <w:ind w:firstLineChars="0"/>
        <w:rPr>
          <w:rFonts w:ascii="仿宋_GB2312" w:eastAsia="仿宋_GB2312"/>
          <w:color w:val="000000" w:themeColor="text1"/>
          <w:sz w:val="28"/>
          <w:szCs w:val="28"/>
          <w14:textFill>
            <w14:solidFill>
              <w14:schemeClr w14:val="tx1"/>
            </w14:solidFill>
          </w14:textFill>
        </w:rPr>
      </w:pPr>
      <w:r>
        <w:rPr>
          <w:rFonts w:hint="eastAsia" w:ascii="仿宋_GB2312" w:eastAsia="仿宋_GB2312"/>
          <w:color w:val="000000" w:themeColor="text1"/>
          <w:sz w:val="28"/>
          <w:szCs w:val="28"/>
          <w14:textFill>
            <w14:solidFill>
              <w14:schemeClr w14:val="tx1"/>
            </w14:solidFill>
          </w14:textFill>
        </w:rPr>
        <w:t>编制标准的原则和依据</w:t>
      </w:r>
    </w:p>
    <w:p w14:paraId="15EF5CCE">
      <w:pPr>
        <w:ind w:firstLine="560" w:firstLineChars="200"/>
        <w:rPr>
          <w:rFonts w:hint="eastAsia" w:ascii="仿宋_GB2312" w:hAnsi="仿宋_GB2312" w:eastAsia="仿宋_GB2312" w:cs="仿宋_GB2312"/>
          <w:sz w:val="28"/>
          <w:szCs w:val="21"/>
        </w:rPr>
      </w:pPr>
      <w:r>
        <w:rPr>
          <w:rFonts w:ascii="仿宋_GB2312" w:hAnsi="仿宋_GB2312" w:eastAsia="仿宋_GB2312" w:cs="仿宋_GB2312"/>
          <w:sz w:val="28"/>
          <w:szCs w:val="21"/>
        </w:rPr>
        <w:t>按GB/T 1.1—2020《标准化工作导则</w:t>
      </w:r>
      <w:r>
        <w:rPr>
          <w:rFonts w:hint="eastAsia" w:ascii="仿宋_GB2312" w:hAnsi="仿宋_GB2312" w:eastAsia="仿宋_GB2312" w:cs="仿宋_GB2312"/>
          <w:sz w:val="28"/>
          <w:szCs w:val="21"/>
        </w:rPr>
        <w:t>第2</w:t>
      </w:r>
      <w:r>
        <w:rPr>
          <w:rFonts w:ascii="仿宋_GB2312" w:hAnsi="仿宋_GB2312" w:eastAsia="仿宋_GB2312" w:cs="仿宋_GB2312"/>
          <w:sz w:val="28"/>
          <w:szCs w:val="21"/>
        </w:rPr>
        <w:t>部分：标准的结构和起草</w:t>
      </w:r>
      <w:r>
        <w:rPr>
          <w:rFonts w:hint="eastAsia" w:ascii="仿宋_GB2312" w:hAnsi="仿宋_GB2312" w:eastAsia="仿宋_GB2312" w:cs="仿宋_GB2312"/>
          <w:sz w:val="28"/>
          <w:szCs w:val="21"/>
        </w:rPr>
        <w:t>规范</w:t>
      </w:r>
      <w:r>
        <w:rPr>
          <w:rFonts w:ascii="仿宋_GB2312" w:hAnsi="仿宋_GB2312" w:eastAsia="仿宋_GB2312" w:cs="仿宋_GB2312"/>
          <w:sz w:val="28"/>
          <w:szCs w:val="21"/>
        </w:rPr>
        <w:t>》的规定，</w:t>
      </w:r>
      <w:r>
        <w:rPr>
          <w:rFonts w:hint="eastAsia" w:ascii="仿宋_GB2312" w:hAnsi="仿宋_GB2312" w:eastAsia="仿宋_GB2312" w:cs="仿宋_GB2312"/>
          <w:sz w:val="28"/>
          <w:szCs w:val="21"/>
        </w:rPr>
        <w:t>在前期工作基础上依据科学性、合规性和可操作性的原则，进行标准起草。</w:t>
      </w:r>
    </w:p>
    <w:p w14:paraId="0BD87699">
      <w:pPr>
        <w:ind w:firstLine="560" w:firstLineChars="200"/>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科学性原则：本标准编制过程中，以北京地区玉米生长特点、生育进程、主要监测内容为依据进行编写，同时参考了北京市农业技术推广站多年研究成果，各项技术指标经过多年的试验示范和推广应用检验，保障了本标准技术内容的科学性和先进性。</w:t>
      </w:r>
    </w:p>
    <w:p w14:paraId="0A4A8AE6">
      <w:pPr>
        <w:ind w:firstLine="560" w:firstLineChars="200"/>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合规性原则：标准编制过程中，注意到标准术语与相关国家和地方标准规定内容的一致性或兼容性，杜绝条文自相矛盾，防止出现冲突。标准内容中引用其他标准时，均明确指出所引用标准内容，便于不同标准之间的协调应用。</w:t>
      </w:r>
    </w:p>
    <w:p w14:paraId="64DD3FD0">
      <w:pPr>
        <w:ind w:firstLine="560" w:firstLineChars="200"/>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可操作性原则：北京市农业技术推广站长期开展玉米农情监测工作。平均每年在延庆、怀柔、密云、平谷、顺义、通州、大兴、房山等玉米主产区建立80</w:t>
      </w:r>
      <w:bookmarkStart w:id="0" w:name="OLE_LINK29"/>
      <w:r>
        <w:rPr>
          <w:rFonts w:hint="eastAsia" w:ascii="仿宋_GB2312" w:hAnsi="仿宋_GB2312" w:eastAsia="仿宋_GB2312" w:cs="仿宋_GB2312"/>
          <w:sz w:val="28"/>
          <w:szCs w:val="21"/>
        </w:rPr>
        <w:t>—</w:t>
      </w:r>
      <w:bookmarkEnd w:id="0"/>
      <w:r>
        <w:rPr>
          <w:rFonts w:hint="eastAsia" w:ascii="仿宋_GB2312" w:hAnsi="仿宋_GB2312" w:eastAsia="仿宋_GB2312" w:cs="仿宋_GB2312"/>
          <w:sz w:val="28"/>
          <w:szCs w:val="21"/>
        </w:rPr>
        <w:t>90个监测点，在生育期间，组织各区推广部门监测人员定时定点深入田间，及时采集农情监测信息。本标准是在总结监测调查数据，并充分征求相关单位的意见和建议的基础上，起草并逐步完善的，操作性较强。</w:t>
      </w:r>
    </w:p>
    <w:p w14:paraId="03F0BADE">
      <w:pPr>
        <w:pStyle w:val="9"/>
        <w:numPr>
          <w:ilvl w:val="0"/>
          <w:numId w:val="5"/>
        </w:numPr>
        <w:ind w:firstLineChars="0"/>
        <w:rPr>
          <w:rFonts w:ascii="仿宋_GB2312" w:eastAsia="仿宋_GB2312"/>
          <w:color w:val="000000" w:themeColor="text1"/>
          <w:sz w:val="28"/>
          <w:szCs w:val="28"/>
          <w14:textFill>
            <w14:solidFill>
              <w14:schemeClr w14:val="tx1"/>
            </w14:solidFill>
          </w14:textFill>
        </w:rPr>
      </w:pPr>
      <w:r>
        <w:rPr>
          <w:rFonts w:hint="eastAsia" w:ascii="仿宋_GB2312" w:eastAsia="仿宋_GB2312"/>
          <w:color w:val="000000" w:themeColor="text1"/>
          <w:sz w:val="28"/>
          <w:szCs w:val="28"/>
          <w14:textFill>
            <w14:solidFill>
              <w14:schemeClr w14:val="tx1"/>
            </w14:solidFill>
          </w14:textFill>
        </w:rPr>
        <w:t>与现行法律法规、标准的关系</w:t>
      </w:r>
    </w:p>
    <w:p w14:paraId="0010AA97">
      <w:pPr>
        <w:ind w:firstLine="560" w:firstLineChars="200"/>
        <w:rPr>
          <w:rFonts w:ascii="仿宋_GB2312" w:eastAsia="仿宋_GB2312"/>
          <w:color w:val="000000" w:themeColor="text1"/>
          <w:sz w:val="28"/>
          <w:szCs w:val="28"/>
          <w14:textFill>
            <w14:solidFill>
              <w14:schemeClr w14:val="tx1"/>
            </w14:solidFill>
          </w14:textFill>
        </w:rPr>
      </w:pPr>
      <w:r>
        <w:rPr>
          <w:rFonts w:hint="eastAsia" w:ascii="仿宋_GB2312" w:eastAsia="仿宋_GB2312"/>
          <w:color w:val="000000" w:themeColor="text1"/>
          <w:sz w:val="28"/>
          <w:szCs w:val="28"/>
          <w14:textFill>
            <w14:solidFill>
              <w14:schemeClr w14:val="tx1"/>
            </w14:solidFill>
          </w14:textFill>
        </w:rPr>
        <w:t>（1）本标准符合现行的法律法规和强制性（国家、行业、地方）标准要求。本标准与现行法律法规和强制性标准没有冲突。</w:t>
      </w:r>
    </w:p>
    <w:p w14:paraId="1A6D06C0">
      <w:pPr>
        <w:ind w:firstLine="560" w:firstLineChars="200"/>
        <w:rPr>
          <w:rFonts w:ascii="仿宋_GB2312" w:eastAsia="仿宋_GB2312"/>
          <w:color w:val="000000" w:themeColor="text1"/>
          <w:sz w:val="28"/>
          <w:szCs w:val="28"/>
          <w14:textFill>
            <w14:solidFill>
              <w14:schemeClr w14:val="tx1"/>
            </w14:solidFill>
          </w14:textFill>
        </w:rPr>
      </w:pPr>
      <w:r>
        <w:rPr>
          <w:rFonts w:hint="eastAsia" w:ascii="仿宋_GB2312" w:eastAsia="仿宋_GB2312"/>
          <w:color w:val="000000" w:themeColor="text1"/>
          <w:sz w:val="28"/>
          <w:szCs w:val="28"/>
          <w14:textFill>
            <w14:solidFill>
              <w14:schemeClr w14:val="tx1"/>
            </w14:solidFill>
          </w14:textFill>
        </w:rPr>
        <w:t>（2）本标准在编制过程中，参考和引用标准的标准号和标准名称如下：</w:t>
      </w:r>
    </w:p>
    <w:p w14:paraId="4254EDE5">
      <w:pPr>
        <w:pStyle w:val="11"/>
        <w:ind w:firstLine="560"/>
        <w:rPr>
          <w:rFonts w:ascii="仿宋_GB2312" w:eastAsia="仿宋_GB2312"/>
          <w:color w:val="000000" w:themeColor="text1"/>
          <w:kern w:val="2"/>
          <w:sz w:val="28"/>
          <w:szCs w:val="28"/>
          <w14:textFill>
            <w14:solidFill>
              <w14:schemeClr w14:val="tx1"/>
            </w14:solidFill>
          </w14:textFill>
        </w:rPr>
      </w:pPr>
      <w:bookmarkStart w:id="1" w:name="OLE_LINK2"/>
      <w:r>
        <w:rPr>
          <w:rFonts w:hint="eastAsia" w:ascii="仿宋_GB2312" w:eastAsia="仿宋_GB2312"/>
          <w:color w:val="000000" w:themeColor="text1"/>
          <w:kern w:val="2"/>
          <w:sz w:val="28"/>
          <w:szCs w:val="28"/>
          <w14:textFill>
            <w14:solidFill>
              <w14:schemeClr w14:val="tx1"/>
            </w14:solidFill>
          </w14:textFill>
        </w:rPr>
        <w:t>GB/T 15</w:t>
      </w:r>
      <w:r>
        <w:rPr>
          <w:rFonts w:ascii="仿宋_GB2312" w:eastAsia="仿宋_GB2312"/>
          <w:color w:val="000000" w:themeColor="text1"/>
          <w:kern w:val="2"/>
          <w:sz w:val="28"/>
          <w:szCs w:val="28"/>
          <w14:textFill>
            <w14:solidFill>
              <w14:schemeClr w14:val="tx1"/>
            </w14:solidFill>
          </w14:textFill>
        </w:rPr>
        <w:t>798</w:t>
      </w:r>
      <w:r>
        <w:rPr>
          <w:rFonts w:hint="eastAsia" w:ascii="仿宋_GB2312" w:eastAsia="仿宋_GB2312"/>
          <w:color w:val="000000" w:themeColor="text1"/>
          <w:kern w:val="2"/>
          <w:sz w:val="28"/>
          <w:szCs w:val="28"/>
          <w14:textFill>
            <w14:solidFill>
              <w14:schemeClr w14:val="tx1"/>
            </w14:solidFill>
          </w14:textFill>
        </w:rPr>
        <w:t xml:space="preserve"> 粘虫测报调查规范</w:t>
      </w:r>
    </w:p>
    <w:p w14:paraId="4F374DC5">
      <w:pPr>
        <w:pStyle w:val="10"/>
        <w:ind w:firstLine="560"/>
        <w:rPr>
          <w:rFonts w:ascii="仿宋_GB2312" w:eastAsia="仿宋_GB2312"/>
          <w:color w:val="000000" w:themeColor="text1"/>
          <w:kern w:val="2"/>
          <w:sz w:val="28"/>
          <w:szCs w:val="28"/>
          <w14:textFill>
            <w14:solidFill>
              <w14:schemeClr w14:val="tx1"/>
            </w14:solidFill>
          </w14:textFill>
        </w:rPr>
      </w:pPr>
      <w:bookmarkStart w:id="2" w:name="OLE_LINK15"/>
      <w:bookmarkStart w:id="3" w:name="OLE_LINK16"/>
      <w:r>
        <w:rPr>
          <w:rFonts w:ascii="仿宋_GB2312" w:eastAsia="仿宋_GB2312"/>
          <w:color w:val="000000" w:themeColor="text1"/>
          <w:kern w:val="2"/>
          <w:sz w:val="28"/>
          <w:szCs w:val="28"/>
          <w14:textFill>
            <w14:solidFill>
              <w14:schemeClr w14:val="tx1"/>
            </w14:solidFill>
          </w14:textFill>
        </w:rPr>
        <w:t>GB/T</w:t>
      </w:r>
      <w:r>
        <w:rPr>
          <w:rFonts w:hint="eastAsia" w:ascii="仿宋_GB2312" w:eastAsia="仿宋_GB2312"/>
          <w:color w:val="000000" w:themeColor="text1"/>
          <w:kern w:val="2"/>
          <w:sz w:val="28"/>
          <w:szCs w:val="28"/>
          <w14:textFill>
            <w14:solidFill>
              <w14:schemeClr w14:val="tx1"/>
            </w14:solidFill>
          </w14:textFill>
        </w:rPr>
        <w:t xml:space="preserve"> </w:t>
      </w:r>
      <w:r>
        <w:rPr>
          <w:rFonts w:ascii="仿宋_GB2312" w:eastAsia="仿宋_GB2312"/>
          <w:color w:val="000000" w:themeColor="text1"/>
          <w:kern w:val="2"/>
          <w:sz w:val="28"/>
          <w:szCs w:val="28"/>
          <w14:textFill>
            <w14:solidFill>
              <w14:schemeClr w14:val="tx1"/>
            </w14:solidFill>
          </w14:textFill>
        </w:rPr>
        <w:t>17980.42</w:t>
      </w:r>
      <w:bookmarkEnd w:id="2"/>
      <w:bookmarkEnd w:id="3"/>
      <w:r>
        <w:rPr>
          <w:rFonts w:hint="eastAsia" w:ascii="仿宋_GB2312" w:eastAsia="仿宋_GB2312"/>
          <w:color w:val="000000" w:themeColor="text1"/>
          <w:kern w:val="2"/>
          <w:sz w:val="28"/>
          <w:szCs w:val="28"/>
          <w14:textFill>
            <w14:solidFill>
              <w14:schemeClr w14:val="tx1"/>
            </w14:solidFill>
          </w14:textFill>
        </w:rPr>
        <w:t xml:space="preserve">  农药  田间药效试验准则  第42部分：除草剂防治玉米田杂草</w:t>
      </w:r>
    </w:p>
    <w:p w14:paraId="17AF67C5">
      <w:pPr>
        <w:pStyle w:val="10"/>
        <w:ind w:firstLine="560"/>
        <w:rPr>
          <w:rFonts w:ascii="仿宋_GB2312" w:eastAsia="仿宋_GB2312"/>
          <w:color w:val="000000" w:themeColor="text1"/>
          <w:kern w:val="2"/>
          <w:sz w:val="28"/>
          <w:szCs w:val="28"/>
          <w14:textFill>
            <w14:solidFill>
              <w14:schemeClr w14:val="tx1"/>
            </w14:solidFill>
          </w14:textFill>
        </w:rPr>
      </w:pPr>
      <w:r>
        <w:rPr>
          <w:rFonts w:hint="eastAsia" w:ascii="仿宋_GB2312" w:eastAsia="仿宋_GB2312"/>
          <w:color w:val="000000" w:themeColor="text1"/>
          <w:kern w:val="2"/>
          <w:sz w:val="28"/>
          <w:szCs w:val="28"/>
          <w14:textFill>
            <w14:solidFill>
              <w14:schemeClr w14:val="tx1"/>
            </w14:solidFill>
          </w14:textFill>
        </w:rPr>
        <w:t>GB/T</w:t>
      </w:r>
      <w:r>
        <w:rPr>
          <w:rFonts w:ascii="仿宋_GB2312" w:eastAsia="仿宋_GB2312"/>
          <w:color w:val="000000" w:themeColor="text1"/>
          <w:kern w:val="2"/>
          <w:sz w:val="28"/>
          <w:szCs w:val="28"/>
          <w14:textFill>
            <w14:solidFill>
              <w14:schemeClr w14:val="tx1"/>
            </w14:solidFill>
          </w14:textFill>
        </w:rPr>
        <w:t xml:space="preserve"> </w:t>
      </w:r>
      <w:r>
        <w:rPr>
          <w:rFonts w:hint="eastAsia" w:ascii="仿宋_GB2312" w:eastAsia="仿宋_GB2312"/>
          <w:color w:val="000000" w:themeColor="text1"/>
          <w:kern w:val="2"/>
          <w:sz w:val="28"/>
          <w:szCs w:val="28"/>
          <w14:textFill>
            <w14:solidFill>
              <w14:schemeClr w14:val="tx1"/>
            </w14:solidFill>
          </w14:textFill>
        </w:rPr>
        <w:t>408</w:t>
      </w:r>
      <w:r>
        <w:rPr>
          <w:rFonts w:ascii="仿宋_GB2312" w:eastAsia="仿宋_GB2312"/>
          <w:color w:val="000000" w:themeColor="text1"/>
          <w:kern w:val="2"/>
          <w:sz w:val="28"/>
          <w:szCs w:val="28"/>
          <w14:textFill>
            <w14:solidFill>
              <w14:schemeClr w14:val="tx1"/>
            </w14:solidFill>
          </w14:textFill>
        </w:rPr>
        <w:t>34</w:t>
      </w:r>
      <w:r>
        <w:rPr>
          <w:rFonts w:hint="eastAsia" w:ascii="仿宋_GB2312" w:eastAsia="仿宋_GB2312"/>
          <w:color w:val="000000" w:themeColor="text1"/>
          <w:kern w:val="2"/>
          <w:sz w:val="28"/>
          <w:szCs w:val="28"/>
          <w14:textFill>
            <w14:solidFill>
              <w14:schemeClr w14:val="tx1"/>
            </w14:solidFill>
          </w14:textFill>
        </w:rPr>
        <w:t xml:space="preserve"> </w:t>
      </w:r>
      <w:r>
        <w:rPr>
          <w:rFonts w:ascii="仿宋_GB2312" w:eastAsia="仿宋_GB2312"/>
          <w:color w:val="000000" w:themeColor="text1"/>
          <w:kern w:val="2"/>
          <w:sz w:val="28"/>
          <w:szCs w:val="28"/>
          <w14:textFill>
            <w14:solidFill>
              <w14:schemeClr w14:val="tx1"/>
            </w14:solidFill>
          </w14:textFill>
        </w:rPr>
        <w:t xml:space="preserve"> </w:t>
      </w:r>
      <w:r>
        <w:rPr>
          <w:rFonts w:hint="eastAsia" w:ascii="仿宋_GB2312" w:eastAsia="仿宋_GB2312"/>
          <w:color w:val="000000" w:themeColor="text1"/>
          <w:kern w:val="2"/>
          <w:sz w:val="28"/>
          <w:szCs w:val="28"/>
          <w14:textFill>
            <w14:solidFill>
              <w14:schemeClr w14:val="tx1"/>
            </w14:solidFill>
          </w14:textFill>
        </w:rPr>
        <w:t>夏玉米苗情长势监测规范</w:t>
      </w:r>
    </w:p>
    <w:p w14:paraId="3F2CA4F1">
      <w:pPr>
        <w:pStyle w:val="10"/>
        <w:ind w:firstLine="560"/>
        <w:rPr>
          <w:rFonts w:ascii="仿宋_GB2312" w:eastAsia="仿宋_GB2312"/>
          <w:color w:val="000000" w:themeColor="text1"/>
          <w:kern w:val="2"/>
          <w:sz w:val="28"/>
          <w:szCs w:val="28"/>
          <w14:textFill>
            <w14:solidFill>
              <w14:schemeClr w14:val="tx1"/>
            </w14:solidFill>
          </w14:textFill>
        </w:rPr>
      </w:pPr>
      <w:r>
        <w:rPr>
          <w:rFonts w:hint="eastAsia" w:ascii="仿宋_GB2312" w:eastAsia="仿宋_GB2312"/>
          <w:color w:val="000000" w:themeColor="text1"/>
          <w:kern w:val="2"/>
          <w:sz w:val="28"/>
          <w:szCs w:val="28"/>
          <w14:textFill>
            <w14:solidFill>
              <w14:schemeClr w14:val="tx1"/>
            </w14:solidFill>
          </w14:textFill>
        </w:rPr>
        <w:t>NY/T 1248.2  玉米抗病虫性鉴定技术规范  第2部分：玉米抗小斑病鉴定技术规范</w:t>
      </w:r>
    </w:p>
    <w:p w14:paraId="2EC08A1E">
      <w:pPr>
        <w:pStyle w:val="10"/>
        <w:ind w:firstLine="560"/>
        <w:rPr>
          <w:rFonts w:ascii="仿宋_GB2312" w:eastAsia="仿宋_GB2312"/>
          <w:color w:val="000000" w:themeColor="text1"/>
          <w:kern w:val="2"/>
          <w:sz w:val="28"/>
          <w:szCs w:val="28"/>
          <w14:textFill>
            <w14:solidFill>
              <w14:schemeClr w14:val="tx1"/>
            </w14:solidFill>
          </w14:textFill>
        </w:rPr>
      </w:pPr>
      <w:r>
        <w:rPr>
          <w:rFonts w:hint="eastAsia" w:ascii="仿宋_GB2312" w:eastAsia="仿宋_GB2312"/>
          <w:color w:val="000000" w:themeColor="text1"/>
          <w:kern w:val="2"/>
          <w:sz w:val="28"/>
          <w:szCs w:val="28"/>
          <w14:textFill>
            <w14:solidFill>
              <w14:schemeClr w14:val="tx1"/>
            </w14:solidFill>
          </w14:textFill>
        </w:rPr>
        <w:t>NY/T 1248.8  玉米抗病虫性鉴定技术规范  第8部分：</w:t>
      </w:r>
      <w:r>
        <w:rPr>
          <w:rFonts w:ascii="仿宋_GB2312" w:eastAsia="仿宋_GB2312"/>
          <w:color w:val="000000" w:themeColor="text1"/>
          <w:kern w:val="2"/>
          <w:sz w:val="28"/>
          <w:szCs w:val="28"/>
          <w14:textFill>
            <w14:solidFill>
              <w14:schemeClr w14:val="tx1"/>
            </w14:solidFill>
          </w14:textFill>
        </w:rPr>
        <w:t xml:space="preserve">镰孢穗腐病 </w:t>
      </w:r>
    </w:p>
    <w:p w14:paraId="2B7F6F33">
      <w:pPr>
        <w:pStyle w:val="10"/>
        <w:ind w:firstLine="560"/>
        <w:rPr>
          <w:rFonts w:ascii="仿宋_GB2312" w:eastAsia="仿宋_GB2312"/>
          <w:color w:val="000000" w:themeColor="text1"/>
          <w:kern w:val="2"/>
          <w:sz w:val="28"/>
          <w:szCs w:val="28"/>
          <w14:textFill>
            <w14:solidFill>
              <w14:schemeClr w14:val="tx1"/>
            </w14:solidFill>
          </w14:textFill>
        </w:rPr>
      </w:pPr>
      <w:r>
        <w:rPr>
          <w:rFonts w:hint="eastAsia" w:ascii="仿宋_GB2312" w:eastAsia="仿宋_GB2312"/>
          <w:color w:val="000000" w:themeColor="text1"/>
          <w:kern w:val="2"/>
          <w:sz w:val="28"/>
          <w:szCs w:val="28"/>
          <w14:textFill>
            <w14:solidFill>
              <w14:schemeClr w14:val="tx1"/>
            </w14:solidFill>
          </w14:textFill>
        </w:rPr>
        <w:t>NY/T 1248.10  玉米抗病虫性鉴定技术规范  第10部分：弯孢叶斑病</w:t>
      </w:r>
    </w:p>
    <w:p w14:paraId="52D9CA3F">
      <w:pPr>
        <w:pStyle w:val="10"/>
        <w:ind w:firstLine="560"/>
        <w:rPr>
          <w:rFonts w:ascii="仿宋_GB2312" w:eastAsia="仿宋_GB2312"/>
          <w:color w:val="000000" w:themeColor="text1"/>
          <w:kern w:val="2"/>
          <w:sz w:val="28"/>
          <w:szCs w:val="28"/>
          <w14:textFill>
            <w14:solidFill>
              <w14:schemeClr w14:val="tx1"/>
            </w14:solidFill>
          </w14:textFill>
        </w:rPr>
      </w:pPr>
      <w:r>
        <w:rPr>
          <w:rFonts w:hint="eastAsia" w:ascii="仿宋_GB2312" w:eastAsia="仿宋_GB2312"/>
          <w:color w:val="000000" w:themeColor="text1"/>
          <w:kern w:val="2"/>
          <w:sz w:val="28"/>
          <w:szCs w:val="28"/>
          <w14:textFill>
            <w14:solidFill>
              <w14:schemeClr w14:val="tx1"/>
            </w14:solidFill>
          </w14:textFill>
        </w:rPr>
        <w:t>NY/T 1248.12  玉米抗病虫性鉴定技术规范  第12部分：瘤黑粉病</w:t>
      </w:r>
    </w:p>
    <w:p w14:paraId="0830C11C">
      <w:pPr>
        <w:pStyle w:val="10"/>
        <w:ind w:firstLine="560"/>
        <w:rPr>
          <w:rFonts w:ascii="仿宋_GB2312" w:eastAsia="仿宋_GB2312"/>
          <w:color w:val="000000" w:themeColor="text1"/>
          <w:kern w:val="2"/>
          <w:sz w:val="28"/>
          <w:szCs w:val="28"/>
          <w14:textFill>
            <w14:solidFill>
              <w14:schemeClr w14:val="tx1"/>
            </w14:solidFill>
          </w14:textFill>
        </w:rPr>
      </w:pPr>
      <w:r>
        <w:rPr>
          <w:rFonts w:ascii="仿宋_GB2312" w:eastAsia="仿宋_GB2312"/>
          <w:color w:val="000000" w:themeColor="text1"/>
          <w:kern w:val="2"/>
          <w:sz w:val="28"/>
          <w:szCs w:val="28"/>
          <w14:textFill>
            <w14:solidFill>
              <w14:schemeClr w14:val="tx1"/>
            </w14:solidFill>
          </w14:textFill>
        </w:rPr>
        <w:t>NY/T</w:t>
      </w:r>
      <w:r>
        <w:rPr>
          <w:rFonts w:hint="eastAsia" w:ascii="仿宋_GB2312" w:eastAsia="仿宋_GB2312"/>
          <w:color w:val="000000" w:themeColor="text1"/>
          <w:kern w:val="2"/>
          <w:sz w:val="28"/>
          <w:szCs w:val="28"/>
          <w14:textFill>
            <w14:solidFill>
              <w14:schemeClr w14:val="tx1"/>
            </w14:solidFill>
          </w14:textFill>
        </w:rPr>
        <w:t xml:space="preserve"> </w:t>
      </w:r>
      <w:r>
        <w:rPr>
          <w:rFonts w:ascii="仿宋_GB2312" w:eastAsia="仿宋_GB2312"/>
          <w:color w:val="000000" w:themeColor="text1"/>
          <w:kern w:val="2"/>
          <w:sz w:val="28"/>
          <w:szCs w:val="28"/>
          <w14:textFill>
            <w14:solidFill>
              <w14:schemeClr w14:val="tx1"/>
            </w14:solidFill>
          </w14:textFill>
        </w:rPr>
        <w:t>1611</w:t>
      </w:r>
      <w:r>
        <w:rPr>
          <w:rFonts w:hint="eastAsia" w:ascii="仿宋_GB2312" w:eastAsia="仿宋_GB2312"/>
          <w:color w:val="000000" w:themeColor="text1"/>
          <w:kern w:val="2"/>
          <w:sz w:val="28"/>
          <w:szCs w:val="28"/>
          <w14:textFill>
            <w14:solidFill>
              <w14:schemeClr w14:val="tx1"/>
            </w14:solidFill>
          </w14:textFill>
        </w:rPr>
        <w:t xml:space="preserve">  </w:t>
      </w:r>
      <w:r>
        <w:rPr>
          <w:rFonts w:ascii="仿宋_GB2312" w:eastAsia="仿宋_GB2312"/>
          <w:color w:val="000000" w:themeColor="text1"/>
          <w:kern w:val="2"/>
          <w:sz w:val="28"/>
          <w:szCs w:val="28"/>
          <w14:textFill>
            <w14:solidFill>
              <w14:schemeClr w14:val="tx1"/>
            </w14:solidFill>
          </w14:textFill>
        </w:rPr>
        <w:t>玉米螟测报技术规范</w:t>
      </w:r>
    </w:p>
    <w:p w14:paraId="516D0A11">
      <w:pPr>
        <w:pStyle w:val="10"/>
        <w:ind w:firstLine="560"/>
        <w:rPr>
          <w:rFonts w:ascii="仿宋_GB2312" w:eastAsia="仿宋_GB2312"/>
          <w:color w:val="000000" w:themeColor="text1"/>
          <w:kern w:val="2"/>
          <w:sz w:val="28"/>
          <w:szCs w:val="28"/>
          <w14:textFill>
            <w14:solidFill>
              <w14:schemeClr w14:val="tx1"/>
            </w14:solidFill>
          </w14:textFill>
        </w:rPr>
      </w:pPr>
      <w:r>
        <w:rPr>
          <w:rFonts w:hint="eastAsia" w:ascii="仿宋_GB2312" w:eastAsia="仿宋_GB2312"/>
          <w:color w:val="000000" w:themeColor="text1"/>
          <w:kern w:val="2"/>
          <w:sz w:val="28"/>
          <w:szCs w:val="28"/>
          <w14:textFill>
            <w14:solidFill>
              <w14:schemeClr w14:val="tx1"/>
            </w14:solidFill>
          </w14:textFill>
        </w:rPr>
        <w:t>NY/T 1782  农田土壤墒情监测技术规范</w:t>
      </w:r>
    </w:p>
    <w:p w14:paraId="5F27FF2C">
      <w:pPr>
        <w:pStyle w:val="10"/>
        <w:ind w:firstLine="560"/>
        <w:rPr>
          <w:rFonts w:ascii="仿宋_GB2312" w:eastAsia="仿宋_GB2312"/>
          <w:color w:val="000000" w:themeColor="text1"/>
          <w:kern w:val="2"/>
          <w:sz w:val="28"/>
          <w:szCs w:val="28"/>
          <w14:textFill>
            <w14:solidFill>
              <w14:schemeClr w14:val="tx1"/>
            </w14:solidFill>
          </w14:textFill>
        </w:rPr>
      </w:pPr>
      <w:r>
        <w:rPr>
          <w:rFonts w:hint="eastAsia" w:ascii="仿宋_GB2312" w:eastAsia="仿宋_GB2312"/>
          <w:color w:val="000000" w:themeColor="text1"/>
          <w:kern w:val="2"/>
          <w:sz w:val="28"/>
          <w:szCs w:val="28"/>
          <w14:textFill>
            <w14:solidFill>
              <w14:schemeClr w14:val="tx1"/>
            </w14:solidFill>
          </w14:textFill>
        </w:rPr>
        <w:t xml:space="preserve">NY/T 2284  </w:t>
      </w:r>
      <w:r>
        <w:rPr>
          <w:rFonts w:ascii="仿宋_GB2312" w:eastAsia="仿宋_GB2312"/>
          <w:color w:val="000000" w:themeColor="text1"/>
          <w:kern w:val="2"/>
          <w:sz w:val="28"/>
          <w:szCs w:val="28"/>
          <w14:textFill>
            <w14:solidFill>
              <w14:schemeClr w14:val="tx1"/>
            </w14:solidFill>
          </w14:textFill>
        </w:rPr>
        <w:t>玉米气象灾害田间调查及分级技术规范</w:t>
      </w:r>
      <w:r>
        <w:rPr>
          <w:rFonts w:hint="eastAsia" w:ascii="仿宋_GB2312" w:eastAsia="仿宋_GB2312"/>
          <w:color w:val="000000" w:themeColor="text1"/>
          <w:kern w:val="2"/>
          <w:sz w:val="28"/>
          <w:szCs w:val="28"/>
          <w14:textFill>
            <w14:solidFill>
              <w14:schemeClr w14:val="tx1"/>
            </w14:solidFill>
          </w14:textFill>
        </w:rPr>
        <w:t xml:space="preserve">  </w:t>
      </w:r>
    </w:p>
    <w:p w14:paraId="1C752263">
      <w:pPr>
        <w:pStyle w:val="10"/>
        <w:ind w:firstLine="560"/>
        <w:rPr>
          <w:rFonts w:ascii="仿宋_GB2312" w:eastAsia="仿宋_GB2312"/>
          <w:color w:val="000000" w:themeColor="text1"/>
          <w:kern w:val="2"/>
          <w:sz w:val="28"/>
          <w:szCs w:val="28"/>
          <w14:textFill>
            <w14:solidFill>
              <w14:schemeClr w14:val="tx1"/>
            </w14:solidFill>
          </w14:textFill>
        </w:rPr>
      </w:pPr>
      <w:r>
        <w:rPr>
          <w:rFonts w:hint="eastAsia" w:ascii="仿宋_GB2312" w:eastAsia="仿宋_GB2312"/>
          <w:color w:val="000000" w:themeColor="text1"/>
          <w:kern w:val="2"/>
          <w:sz w:val="28"/>
          <w:szCs w:val="28"/>
          <w14:textFill>
            <w14:solidFill>
              <w14:schemeClr w14:val="tx1"/>
            </w14:solidFill>
          </w14:textFill>
        </w:rPr>
        <w:t>NY/T 2731  小地老虎测报技术规范</w:t>
      </w:r>
    </w:p>
    <w:p w14:paraId="54B4FCEA">
      <w:pPr>
        <w:pStyle w:val="10"/>
        <w:ind w:firstLine="560"/>
        <w:rPr>
          <w:rFonts w:ascii="仿宋_GB2312" w:eastAsia="仿宋_GB2312"/>
          <w:color w:val="000000" w:themeColor="text1"/>
          <w:kern w:val="2"/>
          <w:sz w:val="28"/>
          <w:szCs w:val="28"/>
          <w14:textFill>
            <w14:solidFill>
              <w14:schemeClr w14:val="tx1"/>
            </w14:solidFill>
          </w14:textFill>
        </w:rPr>
      </w:pPr>
      <w:r>
        <w:rPr>
          <w:rFonts w:hint="eastAsia" w:ascii="仿宋_GB2312" w:eastAsia="仿宋_GB2312"/>
          <w:color w:val="000000" w:themeColor="text1"/>
          <w:kern w:val="2"/>
          <w:sz w:val="28"/>
          <w:szCs w:val="28"/>
          <w14:textFill>
            <w14:solidFill>
              <w14:schemeClr w14:val="tx1"/>
            </w14:solidFill>
          </w14:textFill>
        </w:rPr>
        <w:t xml:space="preserve">NY/T 3158  </w:t>
      </w:r>
      <w:bookmarkStart w:id="4" w:name="OLE_LINK24"/>
      <w:r>
        <w:rPr>
          <w:rFonts w:hint="eastAsia" w:ascii="仿宋_GB2312" w:eastAsia="仿宋_GB2312"/>
          <w:color w:val="000000" w:themeColor="text1"/>
          <w:kern w:val="2"/>
          <w:sz w:val="28"/>
          <w:szCs w:val="28"/>
          <w14:textFill>
            <w14:solidFill>
              <w14:schemeClr w14:val="tx1"/>
            </w14:solidFill>
          </w14:textFill>
        </w:rPr>
        <w:t>二点委夜蛾测报技术规范</w:t>
      </w:r>
      <w:bookmarkEnd w:id="4"/>
    </w:p>
    <w:p w14:paraId="3E578BC1">
      <w:pPr>
        <w:pStyle w:val="10"/>
        <w:ind w:firstLine="560"/>
        <w:rPr>
          <w:rFonts w:ascii="仿宋_GB2312" w:eastAsia="仿宋_GB2312"/>
          <w:color w:val="000000" w:themeColor="text1"/>
          <w:kern w:val="2"/>
          <w:sz w:val="28"/>
          <w:szCs w:val="28"/>
          <w14:textFill>
            <w14:solidFill>
              <w14:schemeClr w14:val="tx1"/>
            </w14:solidFill>
          </w14:textFill>
        </w:rPr>
      </w:pPr>
      <w:r>
        <w:rPr>
          <w:rFonts w:ascii="仿宋_GB2312" w:eastAsia="仿宋_GB2312"/>
          <w:color w:val="000000" w:themeColor="text1"/>
          <w:kern w:val="2"/>
          <w:sz w:val="28"/>
          <w:szCs w:val="28"/>
          <w14:textFill>
            <w14:solidFill>
              <w14:schemeClr w14:val="tx1"/>
            </w14:solidFill>
          </w14:textFill>
        </w:rPr>
        <w:t>NY/T 3546</w:t>
      </w:r>
      <w:r>
        <w:rPr>
          <w:rFonts w:hint="eastAsia" w:ascii="仿宋_GB2312" w:eastAsia="仿宋_GB2312"/>
          <w:color w:val="000000" w:themeColor="text1"/>
          <w:kern w:val="2"/>
          <w:sz w:val="28"/>
          <w:szCs w:val="28"/>
          <w14:textFill>
            <w14:solidFill>
              <w14:schemeClr w14:val="tx1"/>
            </w14:solidFill>
          </w14:textFill>
        </w:rPr>
        <w:t xml:space="preserve">  </w:t>
      </w:r>
      <w:r>
        <w:rPr>
          <w:rFonts w:ascii="仿宋_GB2312" w:eastAsia="仿宋_GB2312"/>
          <w:color w:val="000000" w:themeColor="text1"/>
          <w:kern w:val="2"/>
          <w:sz w:val="28"/>
          <w:szCs w:val="28"/>
          <w14:textFill>
            <w14:solidFill>
              <w14:schemeClr w14:val="tx1"/>
            </w14:solidFill>
          </w14:textFill>
        </w:rPr>
        <w:t>玉米大斑病测报技术规程</w:t>
      </w:r>
    </w:p>
    <w:p w14:paraId="3F99306C">
      <w:pPr>
        <w:pStyle w:val="10"/>
        <w:ind w:firstLine="560"/>
        <w:rPr>
          <w:rFonts w:ascii="仿宋_GB2312" w:eastAsia="仿宋_GB2312"/>
          <w:color w:val="000000" w:themeColor="text1"/>
          <w:kern w:val="2"/>
          <w:sz w:val="28"/>
          <w:szCs w:val="28"/>
          <w14:textFill>
            <w14:solidFill>
              <w14:schemeClr w14:val="tx1"/>
            </w14:solidFill>
          </w14:textFill>
        </w:rPr>
      </w:pPr>
      <w:r>
        <w:rPr>
          <w:rFonts w:hint="eastAsia" w:ascii="仿宋_GB2312" w:eastAsia="仿宋_GB2312"/>
          <w:color w:val="000000" w:themeColor="text1"/>
          <w:kern w:val="2"/>
          <w:sz w:val="28"/>
          <w:szCs w:val="28"/>
          <w14:textFill>
            <w14:solidFill>
              <w14:schemeClr w14:val="tx1"/>
            </w14:solidFill>
          </w14:textFill>
        </w:rPr>
        <w:t>NY/T 3547  玉米田棉铃虫测报技术规程</w:t>
      </w:r>
    </w:p>
    <w:p w14:paraId="72E379BF">
      <w:pPr>
        <w:pStyle w:val="10"/>
        <w:ind w:firstLine="560"/>
        <w:rPr>
          <w:rFonts w:ascii="仿宋_GB2312" w:eastAsia="仿宋_GB2312"/>
          <w:color w:val="000000" w:themeColor="text1"/>
          <w:kern w:val="2"/>
          <w:sz w:val="28"/>
          <w:szCs w:val="28"/>
          <w14:textFill>
            <w14:solidFill>
              <w14:schemeClr w14:val="tx1"/>
            </w14:solidFill>
          </w14:textFill>
        </w:rPr>
      </w:pPr>
      <w:r>
        <w:rPr>
          <w:rFonts w:hint="eastAsia" w:ascii="仿宋_GB2312" w:eastAsia="仿宋_GB2312"/>
          <w:color w:val="000000" w:themeColor="text1"/>
          <w:kern w:val="2"/>
          <w:sz w:val="28"/>
          <w:szCs w:val="28"/>
          <w14:textFill>
            <w14:solidFill>
              <w14:schemeClr w14:val="tx1"/>
            </w14:solidFill>
          </w14:textFill>
        </w:rPr>
        <w:t>NY/T 3866  草地贪夜蛾测报技术规范</w:t>
      </w:r>
      <w:bookmarkStart w:id="5" w:name="_Toc17878129"/>
      <w:bookmarkEnd w:id="5"/>
    </w:p>
    <w:p w14:paraId="1BC27E6A">
      <w:pPr>
        <w:pStyle w:val="10"/>
        <w:ind w:firstLine="560"/>
        <w:rPr>
          <w:rFonts w:ascii="仿宋_GB2312" w:eastAsia="仿宋_GB2312"/>
          <w:color w:val="000000" w:themeColor="text1"/>
          <w:kern w:val="2"/>
          <w:sz w:val="28"/>
          <w:szCs w:val="28"/>
          <w14:textFill>
            <w14:solidFill>
              <w14:schemeClr w14:val="tx1"/>
            </w14:solidFill>
          </w14:textFill>
        </w:rPr>
      </w:pPr>
      <w:r>
        <w:rPr>
          <w:rFonts w:ascii="仿宋_GB2312" w:eastAsia="仿宋_GB2312"/>
          <w:color w:val="000000" w:themeColor="text1"/>
          <w:kern w:val="2"/>
          <w:sz w:val="28"/>
          <w:szCs w:val="28"/>
          <w14:textFill>
            <w14:solidFill>
              <w14:schemeClr w14:val="tx1"/>
            </w14:solidFill>
          </w14:textFill>
        </w:rPr>
        <w:t>NY/T 4773</w:t>
      </w:r>
      <w:r>
        <w:rPr>
          <w:rFonts w:hint="eastAsia" w:ascii="仿宋_GB2312" w:eastAsia="仿宋_GB2312"/>
          <w:color w:val="000000" w:themeColor="text1"/>
          <w:kern w:val="2"/>
          <w:sz w:val="28"/>
          <w:szCs w:val="28"/>
          <w14:textFill>
            <w14:solidFill>
              <w14:schemeClr w14:val="tx1"/>
            </w14:solidFill>
          </w14:textFill>
        </w:rPr>
        <w:t xml:space="preserve">  </w:t>
      </w:r>
      <w:r>
        <w:rPr>
          <w:rFonts w:ascii="仿宋_GB2312" w:eastAsia="仿宋_GB2312"/>
          <w:color w:val="000000" w:themeColor="text1"/>
          <w:kern w:val="2"/>
          <w:sz w:val="28"/>
          <w:szCs w:val="28"/>
          <w14:textFill>
            <w14:solidFill>
              <w14:schemeClr w14:val="tx1"/>
            </w14:solidFill>
          </w14:textFill>
        </w:rPr>
        <w:t>玉米南方锈病测报技术规范</w:t>
      </w:r>
    </w:p>
    <w:bookmarkEnd w:id="1"/>
    <w:p w14:paraId="0CADE903">
      <w:pPr>
        <w:pStyle w:val="9"/>
        <w:numPr>
          <w:ilvl w:val="0"/>
          <w:numId w:val="5"/>
        </w:numPr>
        <w:ind w:firstLineChars="0"/>
        <w:rPr>
          <w:rFonts w:ascii="仿宋_GB2312" w:eastAsia="仿宋_GB2312"/>
          <w:color w:val="000000" w:themeColor="text1"/>
          <w:sz w:val="28"/>
          <w:szCs w:val="28"/>
          <w14:textFill>
            <w14:solidFill>
              <w14:schemeClr w14:val="tx1"/>
            </w14:solidFill>
          </w14:textFill>
        </w:rPr>
      </w:pPr>
      <w:r>
        <w:rPr>
          <w:rFonts w:hint="eastAsia" w:ascii="仿宋_GB2312" w:eastAsia="仿宋_GB2312"/>
          <w:color w:val="000000" w:themeColor="text1"/>
          <w:sz w:val="28"/>
          <w:szCs w:val="28"/>
          <w14:textFill>
            <w14:solidFill>
              <w14:schemeClr w14:val="tx1"/>
            </w14:solidFill>
          </w14:textFill>
        </w:rPr>
        <w:t>与国内外同类标准水平的对比情况</w:t>
      </w:r>
    </w:p>
    <w:p w14:paraId="63489F48">
      <w:pPr>
        <w:ind w:firstLine="840" w:firstLineChars="300"/>
        <w:rPr>
          <w:rFonts w:ascii="仿宋_GB2312" w:eastAsia="仿宋_GB2312"/>
          <w:color w:val="000000" w:themeColor="text1"/>
          <w:sz w:val="28"/>
          <w:szCs w:val="28"/>
          <w14:textFill>
            <w14:solidFill>
              <w14:schemeClr w14:val="tx1"/>
            </w14:solidFill>
          </w14:textFill>
        </w:rPr>
      </w:pPr>
      <w:r>
        <w:rPr>
          <w:rFonts w:hint="eastAsia" w:ascii="仿宋_GB2312" w:hAnsi="仿宋_GB2312" w:eastAsia="仿宋_GB2312" w:cs="仿宋_GB2312"/>
          <w:sz w:val="28"/>
          <w:szCs w:val="21"/>
        </w:rPr>
        <w:t>与国家标准《夏玉米苗情长势监测规范（GB/T 40834-2021）》相比，主</w:t>
      </w:r>
      <w:r>
        <w:rPr>
          <w:rFonts w:hint="eastAsia" w:ascii="仿宋_GB2312" w:eastAsia="仿宋_GB2312"/>
          <w:color w:val="000000" w:themeColor="text1"/>
          <w:sz w:val="28"/>
          <w:szCs w:val="28"/>
          <w14:textFill>
            <w14:solidFill>
              <w14:schemeClr w14:val="tx1"/>
            </w14:solidFill>
          </w14:textFill>
        </w:rPr>
        <w:t>要区别在于：</w:t>
      </w:r>
    </w:p>
    <w:p w14:paraId="035DB8F9">
      <w:pPr>
        <w:ind w:firstLine="560" w:firstLineChars="200"/>
        <w:rPr>
          <w:rFonts w:hint="eastAsia" w:ascii="仿宋_GB2312" w:hAnsi="仿宋_GB2312" w:eastAsia="仿宋_GB2312" w:cs="仿宋_GB2312"/>
          <w:sz w:val="28"/>
          <w:szCs w:val="21"/>
        </w:rPr>
      </w:pPr>
      <w:r>
        <w:rPr>
          <w:rFonts w:hint="eastAsia" w:ascii="仿宋_GB2312" w:eastAsia="仿宋_GB2312"/>
          <w:color w:val="000000" w:themeColor="text1"/>
          <w:sz w:val="28"/>
          <w:szCs w:val="28"/>
          <w14:textFill>
            <w14:solidFill>
              <w14:schemeClr w14:val="tx1"/>
            </w14:solidFill>
          </w14:textFill>
        </w:rPr>
        <w:t>（1）北京市处于东华北中晚熟春玉米类型区和京津冀早熟夏玉米类型区，玉米种植类型多样、生产形势相对复杂、资源环境压力大，国家标准中部分监测内容和指标并不能完全适用于本地区。如本地病虫害发生种类等与其他地区存在差异，因</w:t>
      </w:r>
      <w:r>
        <w:rPr>
          <w:rFonts w:hint="eastAsia" w:ascii="仿宋_GB2312" w:hAnsi="仿宋_GB2312" w:eastAsia="仿宋_GB2312" w:cs="仿宋_GB2312"/>
          <w:sz w:val="28"/>
          <w:szCs w:val="21"/>
        </w:rPr>
        <w:t>此去掉玉米矮花叶病、粗缩病、茎腐病等监测内容，补充粘虫监测内容，并将部分引用标准更换为测报技术规范，同时补充主要气象灾害、病害、虫害和草害防治效果监测标准和方法等资料性附录，提升监测技术标准和实用性。</w:t>
      </w:r>
    </w:p>
    <w:p w14:paraId="1CBBED28">
      <w:pPr>
        <w:ind w:firstLine="560" w:firstLineChars="200"/>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2）国家标准侧重于苗情监测，而对生产成本、销售价格，种植收益等内容均未涉及，产业链相关数据获取不足，不能总结本年度玉米产业形势和研判后续趋势，对产业发展的支撑能力不足。标准是引领产业发展升级的重要技术引擎，在本标准中，着重增加了销售价格、成本效益等内容的监测，并针对北京玉米类型补充提出了鲜食玉米和青贮玉米产量测定时期和计算方法，最终形成了一份科学合理、操作性强且符合北京地区生产实际的标准文件。</w:t>
      </w:r>
    </w:p>
    <w:p w14:paraId="7A1BA4E1">
      <w:pPr>
        <w:numPr>
          <w:ilvl w:val="0"/>
          <w:numId w:val="4"/>
        </w:numPr>
        <w:tabs>
          <w:tab w:val="left" w:pos="630"/>
        </w:tabs>
        <w:ind w:left="0" w:firstLine="562" w:firstLineChars="200"/>
        <w:rPr>
          <w:rFonts w:hint="eastAsia" w:ascii="仿宋_GB2312" w:hAnsi="仿宋_GB2312" w:eastAsia="仿宋_GB2312" w:cs="仿宋_GB2312"/>
          <w:b/>
          <w:bCs/>
          <w:sz w:val="28"/>
          <w:szCs w:val="21"/>
        </w:rPr>
      </w:pPr>
      <w:r>
        <w:rPr>
          <w:rFonts w:hint="eastAsia" w:ascii="仿宋_GB2312" w:hAnsi="仿宋_GB2312" w:eastAsia="仿宋_GB2312" w:cs="仿宋_GB2312"/>
          <w:b/>
          <w:bCs/>
          <w:sz w:val="28"/>
          <w:szCs w:val="21"/>
        </w:rPr>
        <w:t>主要条款及条款编制依据的说明，主要技术指标、参数、实验验证的论述。</w:t>
      </w:r>
    </w:p>
    <w:p w14:paraId="4965AA35">
      <w:pPr>
        <w:ind w:firstLine="640"/>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（一）主要条款说明</w:t>
      </w:r>
    </w:p>
    <w:p w14:paraId="5C3F909D">
      <w:pPr>
        <w:ind w:firstLine="640"/>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按照GB/T 1.1 2020的规定，标准起草组确定了《玉米农情监测技术规范》的结构和内容项目设置，包括资料性概述要素（封面和前言）、规范性一般要素（名称、范围和规范性引用文件）和规范性技术要素（术语和定义、监测地块选择、</w:t>
      </w:r>
      <w:r>
        <w:rPr>
          <w:rFonts w:ascii="仿宋_GB2312" w:hAnsi="仿宋_GB2312" w:eastAsia="仿宋_GB2312" w:cs="仿宋_GB2312"/>
          <w:sz w:val="28"/>
          <w:szCs w:val="21"/>
        </w:rPr>
        <w:t>监测内容和方法、监测数据管理</w:t>
      </w:r>
      <w:r>
        <w:rPr>
          <w:rFonts w:hint="eastAsia" w:ascii="仿宋_GB2312" w:hAnsi="仿宋_GB2312" w:eastAsia="仿宋_GB2312" w:cs="仿宋_GB2312"/>
          <w:sz w:val="28"/>
          <w:szCs w:val="21"/>
        </w:rPr>
        <w:t>和资料性附录），其中规范性技术要素中各条款，是依据监测的流程逐一列出，便于监测者参考使用。本标准包括6个章节和1个资料性附录，具体如下：</w:t>
      </w:r>
    </w:p>
    <w:p w14:paraId="0D9BBD51">
      <w:pPr>
        <w:ind w:firstLine="640"/>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（1）第1章 范围</w:t>
      </w:r>
    </w:p>
    <w:p w14:paraId="2ABA7D95">
      <w:pPr>
        <w:ind w:firstLine="640"/>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主要说明了标准的主要技术内容和适用范围，明确本标准针对北京市玉米农情监测而起草、编制，规定了农情监测地块选择、监测内容和方法、监测数据管理的要求。</w:t>
      </w:r>
    </w:p>
    <w:p w14:paraId="4F707699">
      <w:pPr>
        <w:ind w:firstLine="640"/>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（2）第2章  规范性引用文件</w:t>
      </w:r>
    </w:p>
    <w:p w14:paraId="2882B1A3">
      <w:pPr>
        <w:ind w:firstLine="640"/>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主要说明标准引用的其他相关标准和文件，涵盖了土壤墒情、病虫监测、农作物气象灾害等相关标准。</w:t>
      </w:r>
    </w:p>
    <w:p w14:paraId="38E57CD4">
      <w:pPr>
        <w:ind w:firstLine="640"/>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（3）第3章 术语和定义</w:t>
      </w:r>
    </w:p>
    <w:p w14:paraId="21C5425A">
      <w:pPr>
        <w:ind w:firstLine="640"/>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主要说明了“农情监测”的定义，即</w:t>
      </w:r>
      <w:r>
        <w:rPr>
          <w:rFonts w:ascii="仿宋_GB2312" w:hAnsi="仿宋_GB2312" w:eastAsia="仿宋_GB2312" w:cs="仿宋_GB2312"/>
          <w:sz w:val="28"/>
          <w:szCs w:val="21"/>
        </w:rPr>
        <w:t>在作物全生育期内，对墒情、苗情、灾情、管理措施、产量及成本效益等主要农业生产情况的系统性观测、采集与记录工作。</w:t>
      </w:r>
    </w:p>
    <w:p w14:paraId="3391E7C3">
      <w:pPr>
        <w:ind w:firstLine="640"/>
        <w:rPr>
          <w:rFonts w:hint="eastAsia" w:ascii="仿宋_GB2312" w:hAnsi="仿宋_GB2312" w:eastAsia="仿宋_GB2312" w:cs="仿宋_GB2312"/>
          <w:sz w:val="28"/>
          <w:szCs w:val="21"/>
        </w:rPr>
      </w:pPr>
      <w:r>
        <w:rPr>
          <w:rFonts w:hint="eastAsia" w:ascii="仿宋_GB2312" w:eastAsia="仿宋_GB2312"/>
          <w:color w:val="000000" w:themeColor="text1"/>
          <w:sz w:val="32"/>
          <w14:textFill>
            <w14:solidFill>
              <w14:schemeClr w14:val="tx1"/>
            </w14:solidFill>
          </w14:textFill>
        </w:rPr>
        <w:t>（</w:t>
      </w:r>
      <w:r>
        <w:rPr>
          <w:rFonts w:hint="eastAsia" w:ascii="仿宋_GB2312" w:hAnsi="仿宋_GB2312" w:eastAsia="仿宋_GB2312" w:cs="仿宋_GB2312"/>
          <w:color w:val="000000" w:themeColor="text1"/>
          <w:sz w:val="28"/>
          <w:szCs w:val="21"/>
          <w14:textFill>
            <w14:solidFill>
              <w14:schemeClr w14:val="tx1"/>
            </w14:solidFill>
          </w14:textFill>
        </w:rPr>
        <w:t>4）</w:t>
      </w:r>
      <w:r>
        <w:rPr>
          <w:rFonts w:hint="eastAsia" w:ascii="仿宋_GB2312" w:hAnsi="仿宋_GB2312" w:eastAsia="仿宋_GB2312" w:cs="仿宋_GB2312"/>
          <w:sz w:val="28"/>
          <w:szCs w:val="21"/>
        </w:rPr>
        <w:t>第4章 监测地块选择</w:t>
      </w:r>
    </w:p>
    <w:p w14:paraId="7F74F103">
      <w:pPr>
        <w:ind w:firstLine="640"/>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主要说明农情监测地块在土壤类型、土壤肥力、种植品种、管理水平等方面应具有代表性，根据北京市玉米种植面积数据，设定每</w:t>
      </w:r>
      <w:r>
        <w:rPr>
          <w:sz w:val="28"/>
          <w:szCs w:val="28"/>
        </w:rPr>
        <w:t>666.7 ×10</w:t>
      </w:r>
      <w:r>
        <w:rPr>
          <w:sz w:val="28"/>
          <w:szCs w:val="28"/>
          <w:vertAlign w:val="superscript"/>
        </w:rPr>
        <w:t>4</w:t>
      </w:r>
      <w:r>
        <w:rPr>
          <w:sz w:val="28"/>
          <w:szCs w:val="28"/>
        </w:rPr>
        <w:t xml:space="preserve"> </w:t>
      </w:r>
      <w:r>
        <w:rPr>
          <w:rFonts w:hint="eastAsia"/>
          <w:sz w:val="28"/>
          <w:szCs w:val="28"/>
        </w:rPr>
        <w:t xml:space="preserve"> </w:t>
      </w:r>
      <w:r>
        <w:rPr>
          <w:sz w:val="28"/>
          <w:szCs w:val="28"/>
        </w:rPr>
        <w:t>m</w:t>
      </w:r>
      <w:r>
        <w:rPr>
          <w:sz w:val="28"/>
          <w:szCs w:val="28"/>
          <w:vertAlign w:val="superscript"/>
        </w:rPr>
        <w:t>2</w:t>
      </w:r>
      <w:r>
        <w:rPr>
          <w:rFonts w:hint="eastAsia" w:ascii="仿宋_GB2312" w:hAnsi="仿宋_GB2312" w:eastAsia="仿宋_GB2312" w:cs="仿宋_GB2312"/>
          <w:sz w:val="28"/>
          <w:szCs w:val="28"/>
        </w:rPr>
        <w:t>（1万亩）建</w:t>
      </w:r>
      <w:r>
        <w:rPr>
          <w:rFonts w:hint="eastAsia" w:ascii="仿宋_GB2312" w:hAnsi="仿宋_GB2312" w:eastAsia="仿宋_GB2312" w:cs="仿宋_GB2312"/>
          <w:sz w:val="28"/>
          <w:szCs w:val="21"/>
        </w:rPr>
        <w:t xml:space="preserve">立一个监测地块，提出了籽粒玉米、青贮玉米和鲜食玉米划分比例，并给出了监测地块面积、位置、标记等方面的要求。 </w:t>
      </w:r>
    </w:p>
    <w:p w14:paraId="444F03BD">
      <w:pPr>
        <w:ind w:firstLine="640"/>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（5）第5章 监测内容和方法</w:t>
      </w:r>
    </w:p>
    <w:p w14:paraId="264F490C">
      <w:pPr>
        <w:ind w:firstLine="640"/>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主要说明土壤监测、气象要素、生产管理、苗情监测、主要灾害监测、成本效益的具体监测方法。</w:t>
      </w:r>
    </w:p>
    <w:p w14:paraId="4AB20D9A">
      <w:pPr>
        <w:ind w:firstLine="640"/>
        <w:rPr>
          <w:rFonts w:hint="eastAsia" w:ascii="仿宋_GB2312" w:hAnsi="仿宋_GB2312" w:eastAsia="仿宋_GB2312" w:cs="仿宋_GB2312"/>
          <w:sz w:val="28"/>
          <w:szCs w:val="21"/>
        </w:rPr>
      </w:pPr>
      <w:bookmarkStart w:id="6" w:name="OLE_LINK38"/>
      <w:r>
        <w:rPr>
          <w:rFonts w:hint="eastAsia" w:ascii="仿宋_GB2312" w:hAnsi="仿宋_GB2312" w:eastAsia="仿宋_GB2312" w:cs="仿宋_GB2312"/>
          <w:sz w:val="28"/>
          <w:szCs w:val="21"/>
        </w:rPr>
        <w:t xml:space="preserve"> 5.1土壤监测</w:t>
      </w:r>
    </w:p>
    <w:bookmarkEnd w:id="6"/>
    <w:p w14:paraId="6569C391">
      <w:pPr>
        <w:ind w:firstLine="640"/>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通过监测土壤类型、养分和墒情等内容，可以分析其与玉米监测地块生产管理、植株长势、产量水平等的相关性</w:t>
      </w:r>
      <w:bookmarkStart w:id="7" w:name="OLE_LINK41"/>
      <w:r>
        <w:rPr>
          <w:rFonts w:hint="eastAsia" w:ascii="仿宋_GB2312" w:hAnsi="仿宋_GB2312" w:eastAsia="仿宋_GB2312" w:cs="仿宋_GB2312"/>
          <w:sz w:val="28"/>
          <w:szCs w:val="21"/>
        </w:rPr>
        <w:t>。</w:t>
      </w:r>
      <w:bookmarkEnd w:id="7"/>
    </w:p>
    <w:p w14:paraId="72165F0E">
      <w:pPr>
        <w:ind w:firstLine="640"/>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5.2气象要素</w:t>
      </w:r>
    </w:p>
    <w:p w14:paraId="2BC0A849">
      <w:pPr>
        <w:ind w:firstLine="640"/>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通过科学监测农田气温、降水量、日照时数等指标，有利于科学判断并有针对性地提出田间管理意见。气象要素采用自动监测设备或从当地气象部门获取与监测地块邻近气象站的关键气象要素实时数据，包括温度、降水量、日照时数等指标。</w:t>
      </w:r>
    </w:p>
    <w:p w14:paraId="1904BC1C">
      <w:pPr>
        <w:ind w:firstLine="640"/>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5.3 生产管理</w:t>
      </w:r>
    </w:p>
    <w:p w14:paraId="50B837BA">
      <w:pPr>
        <w:ind w:firstLine="640"/>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生产过程监测主要涵盖了玉米的前茬作物、播前处理、播种、施肥、灌溉、植保等6个方面的指标监测（表1），这些监测内容全面考虑了北京市玉米农情监测的需要，是长期开展农情监测工作的经验总结。此外，北京市农业技术推广站连续多年开展优新品种展示及播期、水肥、化控、高产攻关等试验研究，对于玉米品种选择是否适宜、施肥、灌溉、病虫草害是否及时合理，均能做出科学判断，并根据生产过程监测，及时核实、汇总、分析、上报，能够为北京市农业主管部门决策提供生产过程数据资料，以指导全市生产。</w:t>
      </w:r>
    </w:p>
    <w:p w14:paraId="55F48A91">
      <w:pPr>
        <w:pStyle w:val="14"/>
        <w:spacing w:before="156" w:after="156"/>
        <w:rPr>
          <w:rFonts w:ascii="仿宋_GB2312" w:eastAsia="仿宋_GB2312"/>
          <w:b/>
          <w:bCs/>
        </w:rPr>
      </w:pPr>
      <w:r>
        <w:rPr>
          <w:rFonts w:hint="eastAsia" w:ascii="仿宋_GB2312" w:eastAsia="仿宋_GB2312"/>
          <w:b/>
          <w:bCs/>
        </w:rPr>
        <w:t>生产管理监测项目和主要记载内容</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4"/>
        <w:gridCol w:w="6204"/>
      </w:tblGrid>
      <w:tr w14:paraId="31B5D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4" w:type="dxa"/>
            <w:vAlign w:val="center"/>
          </w:tcPr>
          <w:p w14:paraId="1653EE93">
            <w:pPr>
              <w:pStyle w:val="11"/>
              <w:ind w:firstLine="0" w:firstLineChars="0"/>
              <w:jc w:val="center"/>
              <w:rPr>
                <w:rFonts w:ascii="仿宋_GB2312" w:eastAsia="仿宋_GB2312"/>
              </w:rPr>
            </w:pPr>
            <w:r>
              <w:rPr>
                <w:rFonts w:hint="eastAsia" w:ascii="仿宋_GB2312" w:hAnsi="宋体" w:eastAsia="仿宋_GB2312" w:cs="宋体"/>
                <w:sz w:val="18"/>
                <w:szCs w:val="18"/>
              </w:rPr>
              <w:t>监测项目</w:t>
            </w:r>
          </w:p>
        </w:tc>
        <w:tc>
          <w:tcPr>
            <w:tcW w:w="6204" w:type="dxa"/>
          </w:tcPr>
          <w:p w14:paraId="2CF442DD">
            <w:pPr>
              <w:pStyle w:val="11"/>
              <w:ind w:firstLine="0" w:firstLineChars="0"/>
              <w:jc w:val="center"/>
              <w:rPr>
                <w:rFonts w:ascii="仿宋_GB2312" w:eastAsia="仿宋_GB2312"/>
              </w:rPr>
            </w:pPr>
            <w:r>
              <w:rPr>
                <w:rFonts w:hint="eastAsia" w:ascii="仿宋_GB2312" w:hAnsi="宋体" w:eastAsia="仿宋_GB2312" w:cs="宋体"/>
                <w:sz w:val="18"/>
                <w:szCs w:val="18"/>
              </w:rPr>
              <w:t>主要记载内容</w:t>
            </w:r>
          </w:p>
        </w:tc>
      </w:tr>
      <w:tr w14:paraId="091F2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4" w:type="dxa"/>
            <w:vAlign w:val="center"/>
          </w:tcPr>
          <w:p w14:paraId="6A2028A8">
            <w:pPr>
              <w:pStyle w:val="11"/>
              <w:ind w:firstLine="0" w:firstLineChars="0"/>
              <w:jc w:val="center"/>
              <w:rPr>
                <w:rFonts w:hint="eastAsia" w:ascii="仿宋_GB2312" w:hAnsi="宋体" w:eastAsia="仿宋_GB2312" w:cs="宋体"/>
                <w:sz w:val="18"/>
                <w:szCs w:val="18"/>
              </w:rPr>
            </w:pPr>
            <w:r>
              <w:rPr>
                <w:rFonts w:hint="eastAsia" w:ascii="仿宋_GB2312" w:hAnsi="宋体" w:eastAsia="仿宋_GB2312" w:cs="宋体"/>
                <w:sz w:val="18"/>
                <w:szCs w:val="18"/>
              </w:rPr>
              <w:t>前茬作物</w:t>
            </w:r>
          </w:p>
        </w:tc>
        <w:tc>
          <w:tcPr>
            <w:tcW w:w="6204" w:type="dxa"/>
          </w:tcPr>
          <w:p w14:paraId="6EC4A5F2">
            <w:pPr>
              <w:pStyle w:val="11"/>
              <w:ind w:firstLine="0" w:firstLineChars="0"/>
              <w:rPr>
                <w:rFonts w:hint="eastAsia" w:ascii="仿宋_GB2312" w:hAnsi="宋体" w:eastAsia="仿宋_GB2312" w:cs="宋体"/>
                <w:sz w:val="18"/>
                <w:szCs w:val="18"/>
              </w:rPr>
            </w:pPr>
            <w:r>
              <w:rPr>
                <w:rFonts w:hint="eastAsia" w:ascii="仿宋_GB2312" w:hAnsi="宋体" w:eastAsia="仿宋_GB2312" w:cs="宋体"/>
                <w:sz w:val="18"/>
                <w:szCs w:val="18"/>
              </w:rPr>
              <w:t>前茬作物的种类和产量</w:t>
            </w:r>
          </w:p>
        </w:tc>
      </w:tr>
      <w:tr w14:paraId="1E731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4" w:type="dxa"/>
            <w:vAlign w:val="center"/>
          </w:tcPr>
          <w:p w14:paraId="3D457C26">
            <w:pPr>
              <w:pStyle w:val="11"/>
              <w:ind w:firstLine="0" w:firstLineChars="0"/>
              <w:jc w:val="center"/>
              <w:rPr>
                <w:rFonts w:hint="eastAsia" w:ascii="仿宋_GB2312" w:hAnsi="宋体" w:eastAsia="仿宋_GB2312" w:cs="宋体"/>
                <w:sz w:val="18"/>
                <w:szCs w:val="18"/>
              </w:rPr>
            </w:pPr>
            <w:r>
              <w:rPr>
                <w:rFonts w:hint="eastAsia" w:ascii="仿宋_GB2312" w:hAnsi="宋体" w:eastAsia="仿宋_GB2312" w:cs="宋体"/>
                <w:sz w:val="18"/>
                <w:szCs w:val="18"/>
              </w:rPr>
              <w:t>播前准备</w:t>
            </w:r>
          </w:p>
        </w:tc>
        <w:tc>
          <w:tcPr>
            <w:tcW w:w="6204" w:type="dxa"/>
          </w:tcPr>
          <w:p w14:paraId="2DB89D31">
            <w:pPr>
              <w:pStyle w:val="11"/>
              <w:ind w:firstLine="0" w:firstLineChars="0"/>
              <w:rPr>
                <w:rFonts w:hint="eastAsia" w:ascii="仿宋_GB2312" w:hAnsi="宋体" w:eastAsia="仿宋_GB2312" w:cs="宋体"/>
                <w:sz w:val="18"/>
                <w:szCs w:val="18"/>
              </w:rPr>
            </w:pPr>
            <w:r>
              <w:rPr>
                <w:rFonts w:hint="eastAsia" w:ascii="仿宋_GB2312" w:hAnsi="宋体" w:eastAsia="仿宋_GB2312" w:cs="宋体"/>
                <w:sz w:val="18"/>
                <w:szCs w:val="18"/>
              </w:rPr>
              <w:t>前茬作物秸秆处理方式、耕整地方式、作业机械类型、作业日期、种植品种、种子处理</w:t>
            </w:r>
          </w:p>
        </w:tc>
      </w:tr>
      <w:tr w14:paraId="2552D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4" w:type="dxa"/>
            <w:vAlign w:val="center"/>
          </w:tcPr>
          <w:p w14:paraId="1E4F48D4">
            <w:pPr>
              <w:pStyle w:val="11"/>
              <w:ind w:firstLine="0" w:firstLineChars="0"/>
              <w:jc w:val="center"/>
              <w:rPr>
                <w:rFonts w:hint="eastAsia" w:ascii="仿宋_GB2312" w:hAnsi="宋体" w:eastAsia="仿宋_GB2312" w:cs="宋体"/>
                <w:sz w:val="18"/>
                <w:szCs w:val="18"/>
              </w:rPr>
            </w:pPr>
            <w:r>
              <w:rPr>
                <w:rFonts w:hint="eastAsia" w:ascii="仿宋_GB2312" w:hAnsi="宋体" w:eastAsia="仿宋_GB2312" w:cs="宋体"/>
                <w:sz w:val="18"/>
                <w:szCs w:val="18"/>
              </w:rPr>
              <w:t>播种</w:t>
            </w:r>
          </w:p>
        </w:tc>
        <w:tc>
          <w:tcPr>
            <w:tcW w:w="6204" w:type="dxa"/>
          </w:tcPr>
          <w:p w14:paraId="62A9C0B5">
            <w:pPr>
              <w:pStyle w:val="11"/>
              <w:ind w:firstLine="0" w:firstLineChars="0"/>
              <w:rPr>
                <w:rFonts w:hint="eastAsia" w:ascii="仿宋_GB2312" w:hAnsi="宋体" w:eastAsia="仿宋_GB2312" w:cs="宋体"/>
                <w:sz w:val="18"/>
                <w:szCs w:val="18"/>
              </w:rPr>
            </w:pPr>
            <w:r>
              <w:rPr>
                <w:rFonts w:hint="eastAsia" w:ascii="仿宋_GB2312" w:hAnsi="宋体" w:eastAsia="仿宋_GB2312" w:cs="宋体"/>
                <w:sz w:val="18"/>
                <w:szCs w:val="18"/>
              </w:rPr>
              <w:t>栽培方式、播种方式、播种密度、播种深度、播种机类型</w:t>
            </w:r>
          </w:p>
        </w:tc>
      </w:tr>
      <w:tr w14:paraId="75B03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4" w:type="dxa"/>
            <w:vAlign w:val="center"/>
          </w:tcPr>
          <w:p w14:paraId="02E88541">
            <w:pPr>
              <w:pStyle w:val="11"/>
              <w:ind w:firstLine="0" w:firstLineChars="0"/>
              <w:jc w:val="center"/>
              <w:rPr>
                <w:rFonts w:hint="eastAsia" w:ascii="仿宋_GB2312" w:hAnsi="宋体" w:eastAsia="仿宋_GB2312" w:cs="宋体"/>
                <w:sz w:val="18"/>
                <w:szCs w:val="18"/>
              </w:rPr>
            </w:pPr>
            <w:r>
              <w:rPr>
                <w:rFonts w:hint="eastAsia" w:ascii="仿宋_GB2312" w:hAnsi="宋体" w:eastAsia="仿宋_GB2312" w:cs="宋体"/>
                <w:sz w:val="18"/>
                <w:szCs w:val="18"/>
              </w:rPr>
              <w:t>施肥</w:t>
            </w:r>
          </w:p>
        </w:tc>
        <w:tc>
          <w:tcPr>
            <w:tcW w:w="6204" w:type="dxa"/>
          </w:tcPr>
          <w:p w14:paraId="2D4CC862">
            <w:pPr>
              <w:pStyle w:val="11"/>
              <w:ind w:firstLine="0" w:firstLineChars="0"/>
              <w:rPr>
                <w:rFonts w:hint="eastAsia" w:ascii="仿宋_GB2312" w:hAnsi="宋体" w:eastAsia="仿宋_GB2312" w:cs="宋体"/>
                <w:sz w:val="18"/>
                <w:szCs w:val="18"/>
              </w:rPr>
            </w:pPr>
            <w:r>
              <w:rPr>
                <w:rFonts w:hint="eastAsia" w:ascii="仿宋_GB2312" w:hAnsi="宋体" w:eastAsia="仿宋_GB2312" w:cs="宋体"/>
                <w:sz w:val="18"/>
                <w:szCs w:val="18"/>
              </w:rPr>
              <w:t>施肥时间、施肥方式、施肥量、肥料种类及养分含量</w:t>
            </w:r>
          </w:p>
        </w:tc>
      </w:tr>
      <w:tr w14:paraId="24A8A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4" w:type="dxa"/>
            <w:vAlign w:val="center"/>
          </w:tcPr>
          <w:p w14:paraId="55C0C761">
            <w:pPr>
              <w:pStyle w:val="11"/>
              <w:ind w:firstLine="0" w:firstLineChars="0"/>
              <w:jc w:val="center"/>
              <w:rPr>
                <w:rFonts w:hint="eastAsia" w:ascii="仿宋_GB2312" w:hAnsi="宋体" w:eastAsia="仿宋_GB2312" w:cs="宋体"/>
                <w:sz w:val="18"/>
                <w:szCs w:val="18"/>
              </w:rPr>
            </w:pPr>
            <w:r>
              <w:rPr>
                <w:rFonts w:hint="eastAsia" w:ascii="仿宋_GB2312" w:hAnsi="宋体" w:eastAsia="仿宋_GB2312" w:cs="宋体"/>
                <w:sz w:val="18"/>
                <w:szCs w:val="18"/>
              </w:rPr>
              <w:t>灌溉</w:t>
            </w:r>
          </w:p>
        </w:tc>
        <w:tc>
          <w:tcPr>
            <w:tcW w:w="6204" w:type="dxa"/>
          </w:tcPr>
          <w:p w14:paraId="5FADABE7">
            <w:pPr>
              <w:pStyle w:val="11"/>
              <w:ind w:firstLine="0" w:firstLineChars="0"/>
              <w:rPr>
                <w:rFonts w:hint="eastAsia" w:ascii="仿宋_GB2312" w:hAnsi="宋体" w:eastAsia="仿宋_GB2312" w:cs="宋体"/>
                <w:sz w:val="18"/>
                <w:szCs w:val="18"/>
              </w:rPr>
            </w:pPr>
            <w:r>
              <w:rPr>
                <w:rFonts w:hint="eastAsia" w:ascii="仿宋_GB2312" w:hAnsi="宋体" w:eastAsia="仿宋_GB2312" w:cs="宋体"/>
                <w:sz w:val="18"/>
                <w:szCs w:val="18"/>
              </w:rPr>
              <w:t>灌溉时间、灌溉方式、灌溉量</w:t>
            </w:r>
          </w:p>
        </w:tc>
      </w:tr>
      <w:tr w14:paraId="2F021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4" w:type="dxa"/>
            <w:vAlign w:val="center"/>
          </w:tcPr>
          <w:p w14:paraId="6F682C1C">
            <w:pPr>
              <w:pStyle w:val="11"/>
              <w:ind w:firstLine="0" w:firstLineChars="0"/>
              <w:jc w:val="center"/>
              <w:rPr>
                <w:rFonts w:hint="eastAsia" w:ascii="仿宋_GB2312" w:hAnsi="宋体" w:eastAsia="仿宋_GB2312" w:cs="宋体"/>
                <w:sz w:val="18"/>
                <w:szCs w:val="18"/>
              </w:rPr>
            </w:pPr>
            <w:r>
              <w:rPr>
                <w:rFonts w:hint="eastAsia" w:ascii="仿宋_GB2312" w:hAnsi="宋体" w:eastAsia="仿宋_GB2312" w:cs="宋体"/>
                <w:sz w:val="18"/>
                <w:szCs w:val="18"/>
              </w:rPr>
              <w:t>植保</w:t>
            </w:r>
          </w:p>
        </w:tc>
        <w:tc>
          <w:tcPr>
            <w:tcW w:w="6204" w:type="dxa"/>
          </w:tcPr>
          <w:p w14:paraId="0A711367">
            <w:pPr>
              <w:pStyle w:val="11"/>
              <w:ind w:firstLine="0" w:firstLineChars="0"/>
              <w:rPr>
                <w:rFonts w:hint="eastAsia" w:ascii="仿宋_GB2312" w:hAnsi="宋体" w:eastAsia="仿宋_GB2312" w:cs="宋体"/>
                <w:sz w:val="18"/>
                <w:szCs w:val="18"/>
              </w:rPr>
            </w:pPr>
            <w:r>
              <w:rPr>
                <w:rFonts w:hint="eastAsia" w:ascii="仿宋_GB2312" w:hAnsi="宋体" w:eastAsia="仿宋_GB2312" w:cs="宋体"/>
                <w:sz w:val="18"/>
                <w:szCs w:val="18"/>
              </w:rPr>
              <w:t>病虫草害类型、防治日期、防治方法、药剂名称、药剂用量、防治效果</w:t>
            </w:r>
          </w:p>
        </w:tc>
      </w:tr>
    </w:tbl>
    <w:p w14:paraId="463ECBC9">
      <w:pPr>
        <w:ind w:firstLine="640"/>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5.4 苗情监测</w:t>
      </w:r>
    </w:p>
    <w:p w14:paraId="252A9A9F">
      <w:pPr>
        <w:pStyle w:val="10"/>
        <w:ind w:firstLine="560"/>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包括监测样点、生育进程、</w:t>
      </w:r>
      <w:r>
        <w:rPr>
          <w:rFonts w:ascii="仿宋_GB2312" w:hAnsi="仿宋_GB2312" w:eastAsia="仿宋_GB2312" w:cs="仿宋_GB2312"/>
          <w:sz w:val="28"/>
          <w:szCs w:val="21"/>
        </w:rPr>
        <w:t>苗情长势和穗部性状</w:t>
      </w:r>
      <w:r>
        <w:rPr>
          <w:rFonts w:hint="eastAsia" w:ascii="仿宋_GB2312" w:hAnsi="仿宋_GB2312" w:eastAsia="仿宋_GB2312" w:cs="仿宋_GB2312"/>
          <w:sz w:val="28"/>
          <w:szCs w:val="21"/>
        </w:rPr>
        <w:t>、产量及产量构成等内容。</w:t>
      </w:r>
    </w:p>
    <w:p w14:paraId="29EDB29C">
      <w:pPr>
        <w:pStyle w:val="10"/>
        <w:ind w:firstLine="560"/>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监测样点强调要具有代表性，并明确了选择标准和面积等要求。</w:t>
      </w:r>
    </w:p>
    <w:p w14:paraId="5C603550">
      <w:pPr>
        <w:pStyle w:val="10"/>
        <w:ind w:firstLine="560"/>
        <w:rPr>
          <w:rFonts w:hint="eastAsia" w:ascii="仿宋_GB2312" w:hAnsi="仿宋_GB2312" w:eastAsia="仿宋_GB2312" w:cs="仿宋_GB2312"/>
          <w:kern w:val="2"/>
          <w:sz w:val="28"/>
          <w:szCs w:val="21"/>
        </w:rPr>
      </w:pPr>
      <w:r>
        <w:rPr>
          <w:rFonts w:hint="eastAsia" w:ascii="仿宋_GB2312" w:hAnsi="仿宋_GB2312" w:eastAsia="仿宋_GB2312" w:cs="仿宋_GB2312"/>
          <w:sz w:val="28"/>
          <w:szCs w:val="21"/>
        </w:rPr>
        <w:t>生育进程规定</w:t>
      </w:r>
      <w:r>
        <w:rPr>
          <w:rFonts w:ascii="仿宋_GB2312" w:hAnsi="仿宋_GB2312" w:eastAsia="仿宋_GB2312" w:cs="仿宋_GB2312"/>
          <w:kern w:val="2"/>
          <w:sz w:val="28"/>
          <w:szCs w:val="21"/>
        </w:rPr>
        <w:t>除成熟期判断指标为90%以上植株达到判定标准外，其它生育时期判定指标为50%以上植株达到判断标准。</w:t>
      </w:r>
      <w:r>
        <w:rPr>
          <w:rFonts w:hint="eastAsia" w:ascii="仿宋_GB2312" w:hAnsi="仿宋_GB2312" w:eastAsia="仿宋_GB2312" w:cs="仿宋_GB2312"/>
          <w:kern w:val="2"/>
          <w:sz w:val="28"/>
          <w:szCs w:val="21"/>
        </w:rPr>
        <w:t>主要监测时期包括播种期、出苗期、三叶期、拔节期、大喇叭口期、抽雄期、吐丝期、籽粒形成期、乳熟期、蜡熟期、成熟期，并根据生产实际情况增加了收获期的记载。物候期的判断标准主要参考 GB/T</w:t>
      </w:r>
      <w:r>
        <w:rPr>
          <w:rFonts w:ascii="仿宋_GB2312" w:hAnsi="仿宋_GB2312" w:eastAsia="仿宋_GB2312" w:cs="仿宋_GB2312"/>
          <w:kern w:val="2"/>
          <w:sz w:val="28"/>
          <w:szCs w:val="21"/>
        </w:rPr>
        <w:t xml:space="preserve"> </w:t>
      </w:r>
      <w:r>
        <w:rPr>
          <w:rFonts w:hint="eastAsia" w:ascii="仿宋_GB2312" w:hAnsi="仿宋_GB2312" w:eastAsia="仿宋_GB2312" w:cs="仿宋_GB2312"/>
          <w:kern w:val="2"/>
          <w:sz w:val="28"/>
          <w:szCs w:val="21"/>
        </w:rPr>
        <w:t>40834</w:t>
      </w:r>
      <w:r>
        <w:rPr>
          <w:rFonts w:hint="eastAsia" w:ascii="仿宋_GB2312" w:hAnsi="仿宋_GB2312" w:eastAsia="仿宋_GB2312" w:cs="仿宋_GB2312"/>
          <w:sz w:val="28"/>
          <w:szCs w:val="21"/>
        </w:rPr>
        <w:t>夏玉米苗情长势监测规范</w:t>
      </w:r>
      <w:r>
        <w:rPr>
          <w:rFonts w:hint="eastAsia" w:ascii="仿宋_GB2312" w:hAnsi="仿宋_GB2312" w:eastAsia="仿宋_GB2312" w:cs="仿宋_GB2312"/>
          <w:kern w:val="2"/>
          <w:sz w:val="28"/>
          <w:szCs w:val="21"/>
        </w:rPr>
        <w:t>、2021年中国农业大学出版社出版的《作物田间技术与生物学观察》和2004年上海科学技术出版社出版的《中国玉米栽培学》等资料。这些时期可归纳为苗期阶段（以营养生长为中心）、穗期阶段（营养生长与生殖生长同时进行）、花粒期阶段（以生殖生长为中心）。生育时期的监测有利于评价全市玉米生育阶段，并根据生育阶段编制对应的生产管理意见。</w:t>
      </w:r>
    </w:p>
    <w:p w14:paraId="55E588FD">
      <w:pPr>
        <w:pStyle w:val="10"/>
        <w:ind w:firstLine="560"/>
        <w:rPr>
          <w:rFonts w:hint="eastAsia" w:ascii="仿宋_GB2312" w:hAnsi="仿宋_GB2312" w:eastAsia="仿宋_GB2312" w:cs="仿宋_GB2312"/>
          <w:sz w:val="28"/>
          <w:szCs w:val="21"/>
        </w:rPr>
      </w:pPr>
      <w:r>
        <w:rPr>
          <w:rFonts w:ascii="仿宋_GB2312" w:hAnsi="仿宋_GB2312" w:eastAsia="仿宋_GB2312" w:cs="仿宋_GB2312"/>
          <w:sz w:val="28"/>
          <w:szCs w:val="21"/>
        </w:rPr>
        <w:t>苗情长势和穗部性状</w:t>
      </w:r>
      <w:r>
        <w:rPr>
          <w:rFonts w:hint="eastAsia" w:ascii="仿宋_GB2312" w:hAnsi="仿宋_GB2312" w:eastAsia="仿宋_GB2312" w:cs="仿宋_GB2312"/>
          <w:sz w:val="28"/>
          <w:szCs w:val="21"/>
        </w:rPr>
        <w:t>、产量及产量构成两部分内容分别监测包括</w:t>
      </w:r>
      <w:r>
        <w:rPr>
          <w:rFonts w:ascii="仿宋_GB2312" w:hAnsi="仿宋_GB2312" w:eastAsia="仿宋_GB2312" w:cs="仿宋_GB2312"/>
          <w:sz w:val="28"/>
          <w:szCs w:val="21"/>
        </w:rPr>
        <w:t>行距、株距、出苗率等</w:t>
      </w:r>
      <w:r>
        <w:rPr>
          <w:rFonts w:hint="eastAsia" w:ascii="仿宋_GB2312" w:hAnsi="仿宋_GB2312" w:eastAsia="仿宋_GB2312" w:cs="仿宋_GB2312"/>
          <w:sz w:val="28"/>
          <w:szCs w:val="21"/>
        </w:rPr>
        <w:t>11个项目和株数、穗数、空杆率等10个项目，主要监测方法参考</w:t>
      </w:r>
      <w:bookmarkStart w:id="8" w:name="OLE_LINK13"/>
      <w:r>
        <w:rPr>
          <w:rFonts w:hint="eastAsia" w:ascii="仿宋_GB2312" w:hAnsi="仿宋_GB2312" w:eastAsia="仿宋_GB2312" w:cs="仿宋_GB2312"/>
          <w:sz w:val="28"/>
          <w:szCs w:val="21"/>
        </w:rPr>
        <w:t>GB/T</w:t>
      </w:r>
      <w:r>
        <w:rPr>
          <w:rFonts w:ascii="仿宋_GB2312" w:hAnsi="仿宋_GB2312" w:eastAsia="仿宋_GB2312" w:cs="仿宋_GB2312"/>
          <w:sz w:val="28"/>
          <w:szCs w:val="21"/>
        </w:rPr>
        <w:t xml:space="preserve"> </w:t>
      </w:r>
      <w:r>
        <w:rPr>
          <w:rFonts w:hint="eastAsia" w:ascii="仿宋_GB2312" w:hAnsi="仿宋_GB2312" w:eastAsia="仿宋_GB2312" w:cs="仿宋_GB2312"/>
          <w:sz w:val="28"/>
          <w:szCs w:val="21"/>
        </w:rPr>
        <w:t>40834</w:t>
      </w:r>
      <w:bookmarkEnd w:id="8"/>
      <w:r>
        <w:rPr>
          <w:rFonts w:hint="eastAsia" w:ascii="仿宋_GB2312" w:hAnsi="仿宋_GB2312" w:eastAsia="仿宋_GB2312" w:cs="仿宋_GB2312"/>
          <w:sz w:val="28"/>
          <w:szCs w:val="21"/>
        </w:rPr>
        <w:t>夏玉米苗情长势监测规范、NY/T</w:t>
      </w:r>
      <w:r>
        <w:rPr>
          <w:rFonts w:ascii="仿宋_GB2312" w:hAnsi="仿宋_GB2312" w:eastAsia="仿宋_GB2312" w:cs="仿宋_GB2312"/>
          <w:sz w:val="28"/>
          <w:szCs w:val="21"/>
        </w:rPr>
        <w:t xml:space="preserve"> </w:t>
      </w:r>
      <w:r>
        <w:rPr>
          <w:rFonts w:hint="eastAsia" w:ascii="仿宋_GB2312" w:hAnsi="仿宋_GB2312" w:eastAsia="仿宋_GB2312" w:cs="仿宋_GB2312"/>
          <w:sz w:val="28"/>
          <w:szCs w:val="21"/>
        </w:rPr>
        <w:t xml:space="preserve">1209 </w:t>
      </w:r>
      <w:r>
        <w:rPr>
          <w:rFonts w:ascii="仿宋_GB2312" w:hAnsi="仿宋_GB2312" w:eastAsia="仿宋_GB2312" w:cs="仿宋_GB2312"/>
          <w:sz w:val="28"/>
          <w:szCs w:val="21"/>
        </w:rPr>
        <w:t>农作物品种试验与信息化技术规程</w:t>
      </w:r>
      <w:r>
        <w:rPr>
          <w:rFonts w:hint="eastAsia" w:ascii="仿宋_GB2312" w:hAnsi="仿宋_GB2312" w:eastAsia="仿宋_GB2312" w:cs="仿宋_GB2312"/>
          <w:sz w:val="28"/>
          <w:szCs w:val="21"/>
        </w:rPr>
        <w:t xml:space="preserve"> 玉米和</w:t>
      </w:r>
      <w:r>
        <w:rPr>
          <w:rFonts w:hint="eastAsia" w:ascii="仿宋_GB2312" w:hAnsi="仿宋_GB2312" w:eastAsia="仿宋_GB2312" w:cs="仿宋_GB2312"/>
          <w:kern w:val="2"/>
          <w:sz w:val="28"/>
          <w:szCs w:val="21"/>
        </w:rPr>
        <w:t>2021年中国农业大学出版社出版的《作物田间技术与生物学观察》</w:t>
      </w:r>
      <w:r>
        <w:rPr>
          <w:rFonts w:hint="eastAsia" w:ascii="仿宋_GB2312" w:hAnsi="仿宋_GB2312" w:eastAsia="仿宋_GB2312" w:cs="仿宋_GB2312"/>
          <w:sz w:val="28"/>
          <w:szCs w:val="21"/>
        </w:rPr>
        <w:t>等资料，相关测量方法和计算方式根据实际情况和专家意见进行了一定修改。</w:t>
      </w:r>
    </w:p>
    <w:p w14:paraId="61C5326B">
      <w:pPr>
        <w:ind w:firstLine="640"/>
        <w:rPr>
          <w:rFonts w:ascii="仿宋_GB2312" w:eastAsia="仿宋_GB2312"/>
          <w:sz w:val="28"/>
          <w:szCs w:val="28"/>
        </w:rPr>
      </w:pPr>
      <w:r>
        <w:rPr>
          <w:rFonts w:hint="eastAsia" w:ascii="仿宋_GB2312" w:eastAsia="仿宋_GB2312"/>
          <w:sz w:val="28"/>
          <w:szCs w:val="28"/>
        </w:rPr>
        <w:t xml:space="preserve"> 5.5主要灾害监测</w:t>
      </w:r>
    </w:p>
    <w:p w14:paraId="0B4DC412">
      <w:pPr>
        <w:pStyle w:val="11"/>
        <w:ind w:firstLine="560"/>
        <w:rPr>
          <w:rFonts w:hint="eastAsia" w:ascii="仿宋_GB2312" w:hAnsi="仿宋_GB2312" w:eastAsia="仿宋_GB2312" w:cs="仿宋_GB2312"/>
          <w:kern w:val="2"/>
          <w:sz w:val="28"/>
          <w:szCs w:val="21"/>
        </w:rPr>
      </w:pPr>
      <w:r>
        <w:rPr>
          <w:rFonts w:hint="eastAsia" w:ascii="仿宋_GB2312" w:hAnsi="仿宋_GB2312" w:eastAsia="仿宋_GB2312" w:cs="仿宋_GB2312"/>
          <w:kern w:val="2"/>
          <w:sz w:val="28"/>
          <w:szCs w:val="21"/>
        </w:rPr>
        <w:t>主要包括气象灾害、病害、虫害、草害等。在气象灾害中，</w:t>
      </w:r>
      <w:r>
        <w:rPr>
          <w:rFonts w:ascii="仿宋_GB2312" w:hAnsi="仿宋_GB2312" w:eastAsia="仿宋_GB2312" w:cs="仿宋_GB2312"/>
          <w:kern w:val="2"/>
          <w:sz w:val="28"/>
          <w:szCs w:val="21"/>
        </w:rPr>
        <w:t>干旱、涝渍、霜冻害、高温热害监测按照NY/T 2284执行，阴雨寡照按GB/T 40834执行。</w:t>
      </w:r>
      <w:r>
        <w:rPr>
          <w:rFonts w:hint="eastAsia" w:ascii="仿宋_GB2312" w:hAnsi="仿宋_GB2312" w:eastAsia="仿宋_GB2312" w:cs="仿宋_GB2312"/>
          <w:kern w:val="2"/>
          <w:sz w:val="28"/>
          <w:szCs w:val="21"/>
        </w:rPr>
        <w:t>在病害方面，大斑病监测按照NY/T 3546执行，小斑病监测按照NY/T 1248.2执行，穗腐病监测按照NY/T 1248.8执行，弯孢叶斑病监测按照NY/T 1248.10执行，瘤黑粉病监测按照NY/T 1248.12执行，南方锈病监测按照NY/T 4773执行。在虫害方面，粘虫监测按照GB/T 15798执行，玉米螟监测按照NY/T 1611执行，小地老虎监测按照NY/T 2731执行，二点委夜蛾检测按照NY/T 3158执行，棉铃虫监测按照NY/T 3547执行，草地贪夜蛾监测按照NY/T 3866执行。草害</w:t>
      </w:r>
      <w:r>
        <w:rPr>
          <w:rFonts w:ascii="仿宋_GB2312" w:hAnsi="仿宋_GB2312" w:eastAsia="仿宋_GB2312" w:cs="仿宋_GB2312"/>
          <w:kern w:val="2"/>
          <w:sz w:val="28"/>
          <w:szCs w:val="21"/>
        </w:rPr>
        <w:t>防治效果评价方法按照GB/T 17980.42</w:t>
      </w:r>
      <w:r>
        <w:rPr>
          <w:rFonts w:hint="eastAsia" w:ascii="仿宋_GB2312" w:hAnsi="仿宋_GB2312" w:eastAsia="仿宋_GB2312" w:cs="仿宋_GB2312"/>
          <w:kern w:val="2"/>
          <w:sz w:val="28"/>
          <w:szCs w:val="21"/>
        </w:rPr>
        <w:t>执行。其他区域性、偶发性灾害按照GB/T 40834执行。</w:t>
      </w:r>
    </w:p>
    <w:p w14:paraId="65AB76E4">
      <w:pPr>
        <w:ind w:firstLine="640"/>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5.7成本效益</w:t>
      </w:r>
    </w:p>
    <w:p w14:paraId="7DFCF865">
      <w:pPr>
        <w:ind w:firstLine="640"/>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包括种植成本、销售单价、生产效益等3方面监测指标，种植成本包括</w:t>
      </w:r>
      <w:r>
        <w:rPr>
          <w:rFonts w:ascii="仿宋_GB2312" w:hAnsi="仿宋_GB2312" w:eastAsia="仿宋_GB2312" w:cs="仿宋_GB2312"/>
          <w:sz w:val="28"/>
          <w:szCs w:val="21"/>
        </w:rPr>
        <w:t>种子、肥料、农药、灌溉、人工、农机作业和土地租赁费用等投入</w:t>
      </w:r>
      <w:r>
        <w:rPr>
          <w:rFonts w:hint="eastAsia" w:ascii="仿宋_GB2312" w:hAnsi="仿宋_GB2312" w:eastAsia="仿宋_GB2312" w:cs="仿宋_GB2312"/>
          <w:sz w:val="28"/>
          <w:szCs w:val="21"/>
        </w:rPr>
        <w:t>，生产效益根据玉米单产、销售价格及种植成本确定。</w:t>
      </w:r>
    </w:p>
    <w:p w14:paraId="34631773">
      <w:pPr>
        <w:ind w:firstLine="640"/>
        <w:rPr>
          <w:rFonts w:ascii="仿宋_GB2312" w:eastAsia="仿宋_GB2312"/>
          <w:sz w:val="28"/>
          <w:szCs w:val="28"/>
        </w:rPr>
      </w:pPr>
      <w:r>
        <w:rPr>
          <w:rFonts w:hint="eastAsia" w:ascii="仿宋_GB2312" w:eastAsia="仿宋_GB2312"/>
          <w:sz w:val="28"/>
          <w:szCs w:val="28"/>
        </w:rPr>
        <w:t>（6）第6章 监测数据管理</w:t>
      </w:r>
    </w:p>
    <w:p w14:paraId="3606F265">
      <w:pPr>
        <w:ind w:firstLine="640"/>
        <w:rPr>
          <w:rFonts w:ascii="仿宋_GB2312" w:eastAsia="仿宋_GB2312"/>
          <w:sz w:val="28"/>
          <w:szCs w:val="28"/>
        </w:rPr>
      </w:pPr>
      <w:r>
        <w:rPr>
          <w:rFonts w:hint="eastAsia" w:ascii="仿宋_GB2312" w:eastAsia="仿宋_GB2312"/>
          <w:sz w:val="28"/>
          <w:szCs w:val="28"/>
        </w:rPr>
        <w:t>在监测完成后，要将监测数据进行科学、安全管理。</w:t>
      </w:r>
      <w:r>
        <w:rPr>
          <w:rFonts w:ascii="仿宋_GB2312" w:eastAsia="仿宋_GB2312"/>
          <w:sz w:val="28"/>
          <w:szCs w:val="28"/>
        </w:rPr>
        <w:t>所有监测数据均需规范留存原始记录，做到信息完整、有据可查。按照管理要求按时分类整理归档，同步完成电子化存储备份，做好双重留存保障，避免数据丢失损毁。</w:t>
      </w:r>
    </w:p>
    <w:p w14:paraId="3658BE8C">
      <w:pPr>
        <w:ind w:firstLine="640"/>
        <w:rPr>
          <w:rFonts w:ascii="仿宋_GB2312" w:eastAsia="仿宋_GB2312"/>
          <w:sz w:val="28"/>
          <w:szCs w:val="28"/>
        </w:rPr>
      </w:pPr>
      <w:r>
        <w:rPr>
          <w:rFonts w:hint="eastAsia" w:ascii="仿宋_GB2312" w:eastAsia="仿宋_GB2312"/>
          <w:sz w:val="28"/>
          <w:szCs w:val="28"/>
        </w:rPr>
        <w:t>（7）附录 主要灾害监测资料性附录</w:t>
      </w:r>
    </w:p>
    <w:p w14:paraId="440FBC28">
      <w:pPr>
        <w:ind w:firstLine="640"/>
        <w:rPr>
          <w:rFonts w:ascii="仿宋_GB2312" w:eastAsia="仿宋_GB2312"/>
          <w:sz w:val="28"/>
          <w:szCs w:val="28"/>
        </w:rPr>
      </w:pPr>
      <w:r>
        <w:rPr>
          <w:rFonts w:hint="eastAsia" w:ascii="仿宋_GB2312" w:eastAsia="仿宋_GB2312"/>
          <w:sz w:val="28"/>
          <w:szCs w:val="28"/>
        </w:rPr>
        <w:t>包括附录A主要气象灾害监测标准和方法、附录B主要病害监测标准和方法、附录C主要虫害监测标准和方法、附录D草害防治效果监测标准和方法等4部分，明确了监测时期、分级和划分标准等内容，确保标准使用人员可根据附录内容进行科学、合理监测灾害情况。</w:t>
      </w:r>
    </w:p>
    <w:p w14:paraId="70971BD1">
      <w:pPr>
        <w:ind w:firstLine="640"/>
        <w:rPr>
          <w:rFonts w:ascii="仿宋_GB2312" w:eastAsia="仿宋_GB2312"/>
          <w:sz w:val="28"/>
          <w:szCs w:val="28"/>
        </w:rPr>
      </w:pPr>
      <w:r>
        <w:rPr>
          <w:rFonts w:hint="eastAsia" w:ascii="仿宋_GB2312" w:eastAsia="仿宋_GB2312"/>
          <w:sz w:val="28"/>
          <w:szCs w:val="28"/>
        </w:rPr>
        <w:t>（二）主要技术指标、参数、实验验证的论述</w:t>
      </w:r>
    </w:p>
    <w:p w14:paraId="11EFE6B8">
      <w:pPr>
        <w:ind w:firstLine="640"/>
        <w:rPr>
          <w:rFonts w:ascii="仿宋_GB2312" w:eastAsia="仿宋_GB2312"/>
          <w:sz w:val="28"/>
          <w:szCs w:val="28"/>
        </w:rPr>
      </w:pPr>
      <w:r>
        <w:rPr>
          <w:rFonts w:hint="eastAsia" w:ascii="仿宋_GB2312" w:eastAsia="仿宋_GB2312"/>
          <w:sz w:val="28"/>
          <w:szCs w:val="28"/>
        </w:rPr>
        <w:t>本标准中涉及的主要技术指标和参数主要来自编制单位多年试验、示范和推广经验及生产实践，并在标准起草过程中，请相关科研院所专家、推广技术人员和种植者进行了核实和确定，标准编制小组根据反馈意见和建议，对标准内容进行了修改。</w:t>
      </w:r>
    </w:p>
    <w:p w14:paraId="039C4540">
      <w:pPr>
        <w:numPr>
          <w:ilvl w:val="0"/>
          <w:numId w:val="4"/>
        </w:numPr>
        <w:tabs>
          <w:tab w:val="left" w:pos="630"/>
        </w:tabs>
        <w:ind w:left="0" w:firstLine="562" w:firstLineChars="200"/>
        <w:rPr>
          <w:rFonts w:ascii="仿宋_GB2312" w:eastAsia="仿宋_GB2312"/>
          <w:color w:val="0000FF"/>
          <w:sz w:val="32"/>
        </w:rPr>
      </w:pPr>
      <w:r>
        <w:rPr>
          <w:rFonts w:hint="eastAsia" w:ascii="仿宋_GB2312" w:hAnsi="仿宋_GB2312" w:eastAsia="仿宋_GB2312" w:cs="仿宋_GB2312"/>
          <w:b/>
          <w:bCs/>
          <w:sz w:val="28"/>
          <w:szCs w:val="21"/>
        </w:rPr>
        <w:t>公平竞争审查情况。</w:t>
      </w:r>
    </w:p>
    <w:p w14:paraId="3AA51F30">
      <w:pPr>
        <w:tabs>
          <w:tab w:val="left" w:pos="630"/>
        </w:tabs>
        <w:ind w:firstLine="560" w:firstLineChars="200"/>
        <w:rPr>
          <w:rFonts w:ascii="仿宋_GB2312" w:eastAsia="仿宋_GB2312"/>
          <w:sz w:val="28"/>
          <w:szCs w:val="28"/>
        </w:rPr>
      </w:pPr>
      <w:r>
        <w:rPr>
          <w:rFonts w:hint="eastAsia" w:ascii="仿宋_GB2312" w:eastAsia="仿宋_GB2312"/>
          <w:sz w:val="28"/>
          <w:szCs w:val="28"/>
        </w:rPr>
        <w:t>本标准编制已按规定进行公平竞争审查，经审查，标准内容不存在排除、限制市场竞争的条款，符合公平竞争相关法律法规和政策要求。</w:t>
      </w:r>
    </w:p>
    <w:p w14:paraId="1D194E51">
      <w:pPr>
        <w:numPr>
          <w:ilvl w:val="0"/>
          <w:numId w:val="4"/>
        </w:numPr>
        <w:tabs>
          <w:tab w:val="left" w:pos="630"/>
        </w:tabs>
        <w:ind w:left="0" w:firstLine="562" w:firstLineChars="200"/>
        <w:rPr>
          <w:rFonts w:hint="eastAsia" w:ascii="仿宋_GB2312" w:hAnsi="仿宋_GB2312" w:eastAsia="仿宋_GB2312" w:cs="仿宋_GB2312"/>
          <w:b/>
          <w:bCs/>
          <w:sz w:val="28"/>
          <w:szCs w:val="21"/>
        </w:rPr>
      </w:pPr>
      <w:r>
        <w:rPr>
          <w:rFonts w:hint="eastAsia" w:ascii="仿宋_GB2312" w:hAnsi="仿宋_GB2312" w:eastAsia="仿宋_GB2312" w:cs="仿宋_GB2312"/>
          <w:b/>
          <w:bCs/>
          <w:sz w:val="28"/>
          <w:szCs w:val="21"/>
        </w:rPr>
        <w:t>重大意见分歧的处理依据和结果。</w:t>
      </w:r>
    </w:p>
    <w:p w14:paraId="525A918C">
      <w:pPr>
        <w:spacing w:line="560" w:lineRule="exact"/>
        <w:ind w:firstLine="560" w:firstLineChars="200"/>
        <w:rPr>
          <w:rFonts w:ascii="仿宋_GB2312" w:eastAsia="仿宋_GB2312"/>
          <w:sz w:val="28"/>
          <w:szCs w:val="28"/>
        </w:rPr>
      </w:pPr>
      <w:r>
        <w:rPr>
          <w:rFonts w:hint="eastAsia" w:ascii="仿宋_GB2312" w:eastAsia="仿宋_GB2312"/>
          <w:sz w:val="28"/>
          <w:szCs w:val="28"/>
        </w:rPr>
        <w:t>本</w:t>
      </w:r>
      <w:r>
        <w:rPr>
          <w:rFonts w:ascii="仿宋_GB2312" w:eastAsia="仿宋_GB2312"/>
          <w:sz w:val="28"/>
          <w:szCs w:val="28"/>
        </w:rPr>
        <w:t>标准在</w:t>
      </w:r>
      <w:r>
        <w:rPr>
          <w:rFonts w:hint="eastAsia" w:ascii="仿宋_GB2312" w:eastAsia="仿宋_GB2312"/>
          <w:sz w:val="28"/>
          <w:szCs w:val="28"/>
        </w:rPr>
        <w:t>编制过程中未出现重大意见分歧，所有分歧意见均经协商达成一致，处理结果符合标准编制相关要求。</w:t>
      </w:r>
    </w:p>
    <w:p w14:paraId="6EDE3764">
      <w:pPr>
        <w:numPr>
          <w:ilvl w:val="0"/>
          <w:numId w:val="4"/>
        </w:numPr>
        <w:tabs>
          <w:tab w:val="left" w:pos="630"/>
        </w:tabs>
        <w:ind w:left="0" w:firstLine="562" w:firstLineChars="200"/>
        <w:rPr>
          <w:rFonts w:hint="eastAsia" w:ascii="仿宋_GB2312" w:hAnsi="仿宋_GB2312" w:eastAsia="仿宋_GB2312" w:cs="仿宋_GB2312"/>
          <w:b/>
          <w:bCs/>
          <w:sz w:val="28"/>
          <w:szCs w:val="21"/>
        </w:rPr>
      </w:pPr>
      <w:r>
        <w:rPr>
          <w:rFonts w:hint="eastAsia" w:ascii="仿宋_GB2312" w:hAnsi="仿宋_GB2312" w:eastAsia="仿宋_GB2312" w:cs="仿宋_GB2312"/>
          <w:b/>
          <w:bCs/>
          <w:sz w:val="28"/>
          <w:szCs w:val="21"/>
        </w:rPr>
        <w:t>作为推荐性标准或者强制性标准的建议及其理由。</w:t>
      </w:r>
    </w:p>
    <w:p w14:paraId="400DF90D">
      <w:pPr>
        <w:tabs>
          <w:tab w:val="left" w:pos="630"/>
        </w:tabs>
        <w:ind w:firstLine="560" w:firstLineChars="200"/>
        <w:rPr>
          <w:rFonts w:ascii="仿宋_GB2312" w:eastAsia="仿宋_GB2312"/>
          <w:sz w:val="28"/>
          <w:szCs w:val="28"/>
        </w:rPr>
      </w:pPr>
      <w:r>
        <w:rPr>
          <w:rFonts w:hint="eastAsia" w:ascii="仿宋_GB2312" w:eastAsia="仿宋_GB2312"/>
          <w:sz w:val="28"/>
          <w:szCs w:val="28"/>
        </w:rPr>
        <w:t>标准内容为行业技术指引，建议作为推荐性标准在玉米（籽粒、青贮和鲜食玉米）农情监测和调查等方面实施。</w:t>
      </w:r>
    </w:p>
    <w:p w14:paraId="18EAB22B">
      <w:pPr>
        <w:numPr>
          <w:ilvl w:val="0"/>
          <w:numId w:val="4"/>
        </w:numPr>
        <w:tabs>
          <w:tab w:val="left" w:pos="630"/>
        </w:tabs>
        <w:ind w:left="0" w:firstLine="562" w:firstLineChars="200"/>
        <w:rPr>
          <w:rFonts w:hint="eastAsia" w:ascii="仿宋_GB2312" w:hAnsi="仿宋_GB2312" w:eastAsia="仿宋_GB2312" w:cs="仿宋_GB2312"/>
          <w:b/>
          <w:bCs/>
          <w:sz w:val="28"/>
          <w:szCs w:val="21"/>
        </w:rPr>
      </w:pPr>
      <w:r>
        <w:rPr>
          <w:rFonts w:hint="eastAsia" w:ascii="仿宋_GB2312" w:hAnsi="仿宋_GB2312" w:eastAsia="仿宋_GB2312" w:cs="仿宋_GB2312"/>
          <w:b/>
          <w:bCs/>
          <w:sz w:val="28"/>
          <w:szCs w:val="21"/>
        </w:rPr>
        <w:t>强制性标准实施的风险点、风险程度、风险防控措施和预案。</w:t>
      </w:r>
    </w:p>
    <w:p w14:paraId="7EC1E439">
      <w:pPr>
        <w:ind w:firstLine="560" w:firstLineChars="200"/>
        <w:rPr>
          <w:rFonts w:ascii="仿宋_GB2312" w:eastAsia="仿宋_GB2312"/>
          <w:sz w:val="28"/>
          <w:szCs w:val="28"/>
        </w:rPr>
      </w:pPr>
      <w:r>
        <w:rPr>
          <w:rFonts w:hint="eastAsia" w:ascii="仿宋_GB2312" w:eastAsia="仿宋_GB2312"/>
          <w:sz w:val="28"/>
          <w:szCs w:val="28"/>
        </w:rPr>
        <w:t>无</w:t>
      </w:r>
    </w:p>
    <w:p w14:paraId="6F5D5F48">
      <w:pPr>
        <w:numPr>
          <w:ilvl w:val="0"/>
          <w:numId w:val="4"/>
        </w:numPr>
        <w:tabs>
          <w:tab w:val="left" w:pos="630"/>
        </w:tabs>
        <w:ind w:left="0" w:firstLine="562" w:firstLineChars="200"/>
        <w:rPr>
          <w:rFonts w:hint="eastAsia" w:ascii="仿宋_GB2312" w:hAnsi="仿宋_GB2312" w:eastAsia="仿宋_GB2312" w:cs="仿宋_GB2312"/>
          <w:b/>
          <w:bCs/>
          <w:sz w:val="28"/>
          <w:szCs w:val="21"/>
        </w:rPr>
      </w:pPr>
      <w:r>
        <w:rPr>
          <w:rFonts w:hint="eastAsia" w:ascii="仿宋_GB2312" w:hAnsi="仿宋_GB2312" w:eastAsia="仿宋_GB2312" w:cs="仿宋_GB2312"/>
          <w:b/>
          <w:bCs/>
          <w:sz w:val="28"/>
          <w:szCs w:val="21"/>
        </w:rPr>
        <w:t>实施标准的措施（市有关行政主管部门实施标准的政策措施/宣贯培训/试点示范/监督检查/配套资金等）。</w:t>
      </w:r>
    </w:p>
    <w:p w14:paraId="7ECFA7DF">
      <w:pPr>
        <w:ind w:firstLine="560" w:firstLineChars="200"/>
        <w:rPr>
          <w:rFonts w:ascii="仿宋_GB2312" w:eastAsia="仿宋_GB2312"/>
          <w:sz w:val="28"/>
          <w:szCs w:val="28"/>
        </w:rPr>
      </w:pPr>
      <w:r>
        <w:rPr>
          <w:rFonts w:hint="eastAsia" w:ascii="仿宋_GB2312" w:eastAsia="仿宋_GB2312"/>
          <w:sz w:val="28"/>
          <w:szCs w:val="28"/>
        </w:rPr>
        <w:t>1.宣贯培训</w:t>
      </w:r>
    </w:p>
    <w:p w14:paraId="7F680594">
      <w:pPr>
        <w:ind w:firstLine="560" w:firstLineChars="200"/>
        <w:rPr>
          <w:rFonts w:ascii="仿宋_GB2312" w:eastAsia="仿宋_GB2312"/>
          <w:sz w:val="28"/>
          <w:szCs w:val="28"/>
        </w:rPr>
      </w:pPr>
      <w:r>
        <w:rPr>
          <w:rFonts w:hint="eastAsia" w:ascii="仿宋_GB2312" w:eastAsia="仿宋_GB2312"/>
          <w:sz w:val="28"/>
          <w:szCs w:val="28"/>
        </w:rPr>
        <w:t>每年对各区农技人员、种植主体管理人员等相关人员进行1—2次专项培训，并利用生产观摩、技术培训、网络媒体等多种方式进行规范内容宣贯，推动玉米农情监测技术规范的应用。</w:t>
      </w:r>
    </w:p>
    <w:p w14:paraId="54AAEA70">
      <w:pPr>
        <w:ind w:firstLine="560" w:firstLineChars="200"/>
        <w:rPr>
          <w:rFonts w:ascii="仿宋_GB2312" w:eastAsia="仿宋_GB2312"/>
          <w:sz w:val="28"/>
          <w:szCs w:val="28"/>
        </w:rPr>
      </w:pPr>
      <w:r>
        <w:rPr>
          <w:rFonts w:hint="eastAsia" w:ascii="仿宋_GB2312" w:eastAsia="仿宋_GB2312"/>
          <w:sz w:val="28"/>
          <w:szCs w:val="28"/>
        </w:rPr>
        <w:t>2.工作考核</w:t>
      </w:r>
    </w:p>
    <w:p w14:paraId="5BBA4358">
      <w:pPr>
        <w:ind w:firstLine="560" w:firstLineChars="200"/>
        <w:rPr>
          <w:rFonts w:ascii="仿宋_GB2312" w:eastAsia="仿宋_GB2312"/>
          <w:sz w:val="28"/>
          <w:szCs w:val="28"/>
        </w:rPr>
      </w:pPr>
      <w:r>
        <w:rPr>
          <w:rFonts w:hint="eastAsia" w:ascii="仿宋_GB2312" w:eastAsia="仿宋_GB2312"/>
          <w:sz w:val="28"/>
          <w:szCs w:val="28"/>
        </w:rPr>
        <w:t>将农情监测作为对各区乡村振兴考核的指标，督促各区严格按照此标准进行相关指标调查。</w:t>
      </w:r>
    </w:p>
    <w:p w14:paraId="396D2858">
      <w:pPr>
        <w:numPr>
          <w:ilvl w:val="0"/>
          <w:numId w:val="4"/>
        </w:numPr>
        <w:tabs>
          <w:tab w:val="left" w:pos="630"/>
        </w:tabs>
        <w:ind w:left="0" w:firstLine="562" w:firstLineChars="200"/>
        <w:rPr>
          <w:rFonts w:hint="eastAsia" w:ascii="仿宋_GB2312" w:hAnsi="仿宋_GB2312" w:eastAsia="仿宋_GB2312" w:cs="仿宋_GB2312"/>
          <w:b/>
          <w:bCs/>
          <w:sz w:val="28"/>
          <w:szCs w:val="21"/>
        </w:rPr>
      </w:pPr>
      <w:r>
        <w:rPr>
          <w:rFonts w:hint="eastAsia" w:ascii="仿宋_GB2312" w:hAnsi="仿宋_GB2312" w:eastAsia="仿宋_GB2312" w:cs="仿宋_GB2312"/>
          <w:b/>
          <w:bCs/>
          <w:sz w:val="28"/>
          <w:szCs w:val="21"/>
        </w:rPr>
        <w:t>其他应说明的事项。</w:t>
      </w:r>
    </w:p>
    <w:p w14:paraId="2BB18F1D">
      <w:pPr>
        <w:ind w:firstLine="560" w:firstLineChars="200"/>
        <w:rPr>
          <w:rFonts w:ascii="仿宋_GB2312" w:eastAsia="仿宋_GB2312"/>
          <w:sz w:val="28"/>
          <w:szCs w:val="28"/>
        </w:rPr>
      </w:pPr>
      <w:r>
        <w:rPr>
          <w:rFonts w:hint="eastAsia" w:ascii="仿宋_GB2312" w:eastAsia="仿宋_GB2312"/>
          <w:sz w:val="28"/>
          <w:szCs w:val="28"/>
        </w:rPr>
        <w:t>无</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华文中宋">
    <w:altName w:val="汉仪中宋简"/>
    <w:panose1 w:val="02010600040101010101"/>
    <w:charset w:val="86"/>
    <w:family w:val="auto"/>
    <w:pitch w:val="default"/>
    <w:sig w:usb0="00000000" w:usb1="00000000" w:usb2="00000010" w:usb3="00000000" w:csb0="0004009F" w:csb1="00000000"/>
  </w:font>
  <w:font w:name="汉仪中宋简">
    <w:panose1 w:val="02010600000101010101"/>
    <w:charset w:val="86"/>
    <w:family w:val="auto"/>
    <w:pitch w:val="default"/>
    <w:sig w:usb0="00000001" w:usb1="080E0800" w:usb2="00000002" w:usb3="00000000" w:csb0="00040000" w:csb1="00000000"/>
  </w:font>
  <w:font w:name="仿宋_GB2312">
    <w:altName w:val="方正仿宋_GBK"/>
    <w:panose1 w:val="02010609030101010101"/>
    <w:charset w:val="86"/>
    <w:family w:val="modern"/>
    <w:pitch w:val="default"/>
    <w:sig w:usb0="00000000" w:usb1="00000000" w:usb2="00000010" w:usb3="00000000" w:csb0="00040000" w:csb1="00000000"/>
  </w:font>
  <w:font w:name="方正仿宋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97E3600"/>
    <w:multiLevelType w:val="multilevel"/>
    <w:tmpl w:val="197E3600"/>
    <w:lvl w:ilvl="0" w:tentative="0">
      <w:start w:val="3"/>
      <w:numFmt w:val="japaneseCounting"/>
      <w:lvlText w:val="%1、"/>
      <w:lvlJc w:val="left"/>
      <w:pPr>
        <w:ind w:left="1280" w:hanging="720"/>
      </w:pPr>
      <w:rPr>
        <w:rFonts w:hint="eastAsia"/>
        <w:b/>
        <w:bCs/>
        <w:color w:val="auto"/>
      </w:rPr>
    </w:lvl>
    <w:lvl w:ilvl="1" w:tentative="0">
      <w:start w:val="1"/>
      <w:numFmt w:val="lowerLetter"/>
      <w:lvlText w:val="%2)"/>
      <w:lvlJc w:val="left"/>
      <w:pPr>
        <w:ind w:left="1440" w:hanging="440"/>
      </w:pPr>
    </w:lvl>
    <w:lvl w:ilvl="2" w:tentative="0">
      <w:start w:val="1"/>
      <w:numFmt w:val="lowerRoman"/>
      <w:lvlText w:val="%3."/>
      <w:lvlJc w:val="right"/>
      <w:pPr>
        <w:ind w:left="1880" w:hanging="440"/>
      </w:pPr>
    </w:lvl>
    <w:lvl w:ilvl="3" w:tentative="0">
      <w:start w:val="1"/>
      <w:numFmt w:val="decimal"/>
      <w:lvlText w:val="%4."/>
      <w:lvlJc w:val="left"/>
      <w:pPr>
        <w:ind w:left="1717" w:hanging="440"/>
      </w:pPr>
    </w:lvl>
    <w:lvl w:ilvl="4" w:tentative="0">
      <w:start w:val="1"/>
      <w:numFmt w:val="lowerLetter"/>
      <w:lvlText w:val="%5)"/>
      <w:lvlJc w:val="left"/>
      <w:pPr>
        <w:ind w:left="2760" w:hanging="440"/>
      </w:pPr>
    </w:lvl>
    <w:lvl w:ilvl="5" w:tentative="0">
      <w:start w:val="1"/>
      <w:numFmt w:val="lowerRoman"/>
      <w:lvlText w:val="%6."/>
      <w:lvlJc w:val="right"/>
      <w:pPr>
        <w:ind w:left="3200" w:hanging="440"/>
      </w:pPr>
    </w:lvl>
    <w:lvl w:ilvl="6" w:tentative="0">
      <w:start w:val="1"/>
      <w:numFmt w:val="decimal"/>
      <w:lvlText w:val="%7."/>
      <w:lvlJc w:val="left"/>
      <w:pPr>
        <w:ind w:left="3640" w:hanging="440"/>
      </w:pPr>
    </w:lvl>
    <w:lvl w:ilvl="7" w:tentative="0">
      <w:start w:val="1"/>
      <w:numFmt w:val="lowerLetter"/>
      <w:lvlText w:val="%8)"/>
      <w:lvlJc w:val="left"/>
      <w:pPr>
        <w:ind w:left="4080" w:hanging="440"/>
      </w:pPr>
    </w:lvl>
    <w:lvl w:ilvl="8" w:tentative="0">
      <w:start w:val="1"/>
      <w:numFmt w:val="lowerRoman"/>
      <w:lvlText w:val="%9."/>
      <w:lvlJc w:val="right"/>
      <w:pPr>
        <w:ind w:left="4520" w:hanging="440"/>
      </w:pPr>
    </w:lvl>
  </w:abstractNum>
  <w:abstractNum w:abstractNumId="1">
    <w:nsid w:val="27B33105"/>
    <w:multiLevelType w:val="multilevel"/>
    <w:tmpl w:val="27B33105"/>
    <w:lvl w:ilvl="0" w:tentative="0">
      <w:start w:val="1"/>
      <w:numFmt w:val="japaneseCounting"/>
      <w:lvlText w:val="（%1）"/>
      <w:lvlJc w:val="left"/>
      <w:pPr>
        <w:ind w:left="1720" w:hanging="1080"/>
      </w:pPr>
      <w:rPr>
        <w:rFonts w:hint="default"/>
      </w:rPr>
    </w:lvl>
    <w:lvl w:ilvl="1" w:tentative="0">
      <w:start w:val="1"/>
      <w:numFmt w:val="lowerLetter"/>
      <w:lvlText w:val="%2)"/>
      <w:lvlJc w:val="left"/>
      <w:pPr>
        <w:ind w:left="1520" w:hanging="440"/>
      </w:pPr>
    </w:lvl>
    <w:lvl w:ilvl="2" w:tentative="0">
      <w:start w:val="1"/>
      <w:numFmt w:val="lowerRoman"/>
      <w:lvlText w:val="%3."/>
      <w:lvlJc w:val="right"/>
      <w:pPr>
        <w:ind w:left="1960" w:hanging="440"/>
      </w:pPr>
    </w:lvl>
    <w:lvl w:ilvl="3" w:tentative="0">
      <w:start w:val="1"/>
      <w:numFmt w:val="decimal"/>
      <w:lvlText w:val="%4."/>
      <w:lvlJc w:val="left"/>
      <w:pPr>
        <w:ind w:left="2400" w:hanging="440"/>
      </w:pPr>
    </w:lvl>
    <w:lvl w:ilvl="4" w:tentative="0">
      <w:start w:val="1"/>
      <w:numFmt w:val="lowerLetter"/>
      <w:lvlText w:val="%5)"/>
      <w:lvlJc w:val="left"/>
      <w:pPr>
        <w:ind w:left="2840" w:hanging="440"/>
      </w:pPr>
    </w:lvl>
    <w:lvl w:ilvl="5" w:tentative="0">
      <w:start w:val="1"/>
      <w:numFmt w:val="lowerRoman"/>
      <w:lvlText w:val="%6."/>
      <w:lvlJc w:val="right"/>
      <w:pPr>
        <w:ind w:left="3280" w:hanging="440"/>
      </w:pPr>
    </w:lvl>
    <w:lvl w:ilvl="6" w:tentative="0">
      <w:start w:val="1"/>
      <w:numFmt w:val="decimal"/>
      <w:lvlText w:val="%7."/>
      <w:lvlJc w:val="left"/>
      <w:pPr>
        <w:ind w:left="3720" w:hanging="440"/>
      </w:pPr>
    </w:lvl>
    <w:lvl w:ilvl="7" w:tentative="0">
      <w:start w:val="1"/>
      <w:numFmt w:val="lowerLetter"/>
      <w:lvlText w:val="%8)"/>
      <w:lvlJc w:val="left"/>
      <w:pPr>
        <w:ind w:left="4160" w:hanging="440"/>
      </w:pPr>
    </w:lvl>
    <w:lvl w:ilvl="8" w:tentative="0">
      <w:start w:val="1"/>
      <w:numFmt w:val="lowerRoman"/>
      <w:lvlText w:val="%9."/>
      <w:lvlJc w:val="right"/>
      <w:pPr>
        <w:ind w:left="4600" w:hanging="440"/>
      </w:pPr>
    </w:lvl>
  </w:abstractNum>
  <w:abstractNum w:abstractNumId="2">
    <w:nsid w:val="646260FA"/>
    <w:multiLevelType w:val="multilevel"/>
    <w:tmpl w:val="646260FA"/>
    <w:lvl w:ilvl="0" w:tentative="0">
      <w:start w:val="1"/>
      <w:numFmt w:val="decimal"/>
      <w:pStyle w:val="14"/>
      <w:suff w:val="nothing"/>
      <w:lvlText w:val="表%1　"/>
      <w:lvlJc w:val="left"/>
      <w:pPr>
        <w:ind w:left="0" w:firstLine="0"/>
      </w:pPr>
    </w:lvl>
    <w:lvl w:ilvl="1" w:tentative="0">
      <w:start w:val="1"/>
      <w:numFmt w:val="decimal"/>
      <w:lvlText w:val="%1.%2"/>
      <w:lvlJc w:val="left"/>
      <w:pPr>
        <w:tabs>
          <w:tab w:val="left" w:pos="992"/>
        </w:tabs>
        <w:ind w:left="992" w:hanging="567"/>
      </w:pPr>
    </w:lvl>
    <w:lvl w:ilvl="2" w:tentative="0">
      <w:start w:val="1"/>
      <w:numFmt w:val="decimal"/>
      <w:lvlText w:val="%1.%2.%3"/>
      <w:lvlJc w:val="left"/>
      <w:pPr>
        <w:tabs>
          <w:tab w:val="left" w:pos="1417"/>
        </w:tabs>
        <w:ind w:left="1417"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3">
    <w:nsid w:val="6CEA2025"/>
    <w:multiLevelType w:val="multilevel"/>
    <w:tmpl w:val="6CEA2025"/>
    <w:lvl w:ilvl="0" w:tentative="0">
      <w:start w:val="1"/>
      <w:numFmt w:val="none"/>
      <w:pStyle w:val="21"/>
      <w:suff w:val="nothing"/>
      <w:lvlText w:val="%1"/>
      <w:lvlJc w:val="left"/>
      <w:pPr>
        <w:ind w:left="0" w:firstLine="0"/>
      </w:pPr>
      <w:rPr>
        <w:rFonts w:hint="eastAsia"/>
      </w:rPr>
    </w:lvl>
    <w:lvl w:ilvl="1" w:tentative="0">
      <w:start w:val="1"/>
      <w:numFmt w:val="decimal"/>
      <w:pStyle w:val="19"/>
      <w:suff w:val="nothing"/>
      <w:lvlText w:val="%1%2　"/>
      <w:lvlJc w:val="left"/>
      <w:pPr>
        <w:ind w:left="0" w:firstLine="0"/>
      </w:pPr>
      <w:rPr>
        <w:rFonts w:hint="eastAsia" w:ascii="黑体" w:eastAsia="黑体"/>
        <w:b w:val="0"/>
        <w:i w:val="0"/>
        <w:sz w:val="21"/>
      </w:rPr>
    </w:lvl>
    <w:lvl w:ilvl="2" w:tentative="0">
      <w:start w:val="1"/>
      <w:numFmt w:val="decimal"/>
      <w:pStyle w:val="20"/>
      <w:suff w:val="nothing"/>
      <w:lvlText w:val="%1%2.%3　"/>
      <w:lvlJc w:val="left"/>
      <w:pPr>
        <w:ind w:left="2694"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prst="orthographicFront">
          <w14:lightRig w14:rig="threePt" w14:dir="t">
            <w14:rot w14:lat="0" w14:lon="0" w14:rev="0"/>
          </w14:lightRig>
        </w14:scene3d>
        <w14:ligatures w14:val="none"/>
        <w14:numForm w14:val="default"/>
        <w14:numSpacing w14:val="default"/>
      </w:rPr>
    </w:lvl>
    <w:lvl w:ilvl="3" w:tentative="0">
      <w:start w:val="1"/>
      <w:numFmt w:val="decimal"/>
      <w:pStyle w:val="15"/>
      <w:suff w:val="nothing"/>
      <w:lvlText w:val="%1%2.%3.%4　"/>
      <w:lvlJc w:val="left"/>
      <w:pPr>
        <w:ind w:left="0" w:firstLine="0"/>
      </w:pPr>
      <w:rPr>
        <w:rFonts w:hint="eastAsia" w:ascii="黑体" w:eastAsia="黑体"/>
        <w:b w:val="0"/>
        <w:i w:val="0"/>
        <w:sz w:val="21"/>
      </w:rPr>
    </w:lvl>
    <w:lvl w:ilvl="4" w:tentative="0">
      <w:start w:val="1"/>
      <w:numFmt w:val="decimal"/>
      <w:pStyle w:val="16"/>
      <w:suff w:val="nothing"/>
      <w:lvlText w:val="%1%2.%3.%4.%5　"/>
      <w:lvlJc w:val="left"/>
      <w:pPr>
        <w:ind w:left="1277" w:firstLine="0"/>
      </w:pPr>
      <w:rPr>
        <w:rFonts w:hint="eastAsia" w:ascii="黑体" w:eastAsia="黑体"/>
        <w:b w:val="0"/>
        <w:i w:val="0"/>
        <w:sz w:val="21"/>
      </w:rPr>
    </w:lvl>
    <w:lvl w:ilvl="5" w:tentative="0">
      <w:start w:val="1"/>
      <w:numFmt w:val="decimal"/>
      <w:pStyle w:val="17"/>
      <w:suff w:val="nothing"/>
      <w:lvlText w:val="%1%2.%3.%4.%5.%6　"/>
      <w:lvlJc w:val="left"/>
      <w:pPr>
        <w:ind w:left="0" w:firstLine="0"/>
      </w:pPr>
      <w:rPr>
        <w:rFonts w:hint="eastAsia" w:ascii="黑体" w:eastAsia="黑体"/>
        <w:b w:val="0"/>
        <w:i w:val="0"/>
        <w:sz w:val="21"/>
      </w:rPr>
    </w:lvl>
    <w:lvl w:ilvl="6" w:tentative="0">
      <w:start w:val="1"/>
      <w:numFmt w:val="decimal"/>
      <w:pStyle w:val="18"/>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4">
    <w:nsid w:val="79341B64"/>
    <w:multiLevelType w:val="singleLevel"/>
    <w:tmpl w:val="79341B64"/>
    <w:lvl w:ilvl="0" w:tentative="0">
      <w:start w:val="1"/>
      <w:numFmt w:val="japaneseCounting"/>
      <w:lvlText w:val="%1、"/>
      <w:lvlJc w:val="left"/>
      <w:pPr>
        <w:tabs>
          <w:tab w:val="left" w:pos="630"/>
        </w:tabs>
        <w:ind w:left="630" w:hanging="630"/>
      </w:pPr>
      <w:rPr>
        <w:rFonts w:hint="eastAsia"/>
      </w:rPr>
    </w:lvl>
  </w:abstractNum>
  <w:num w:numId="1">
    <w:abstractNumId w:val="2"/>
  </w:num>
  <w:num w:numId="2">
    <w:abstractNumId w:val="3"/>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k4MDAyZDRhMmU1NjY3MDIzMGU1Y2Y1MzhkZjk3MTcifQ=="/>
  </w:docVars>
  <w:rsids>
    <w:rsidRoot w:val="707E5C20"/>
    <w:rsid w:val="000265F9"/>
    <w:rsid w:val="00031939"/>
    <w:rsid w:val="00037D52"/>
    <w:rsid w:val="00053E5F"/>
    <w:rsid w:val="00053F26"/>
    <w:rsid w:val="000544BF"/>
    <w:rsid w:val="0007003F"/>
    <w:rsid w:val="000E2F62"/>
    <w:rsid w:val="000F060F"/>
    <w:rsid w:val="000F7E69"/>
    <w:rsid w:val="001318CD"/>
    <w:rsid w:val="00137B70"/>
    <w:rsid w:val="0016784A"/>
    <w:rsid w:val="00175DDA"/>
    <w:rsid w:val="00175E5F"/>
    <w:rsid w:val="001943CE"/>
    <w:rsid w:val="00195AA3"/>
    <w:rsid w:val="001A0F2B"/>
    <w:rsid w:val="001B5C7E"/>
    <w:rsid w:val="001F63EC"/>
    <w:rsid w:val="001F6984"/>
    <w:rsid w:val="00286272"/>
    <w:rsid w:val="002A3DBD"/>
    <w:rsid w:val="002B0D7F"/>
    <w:rsid w:val="002C1ECE"/>
    <w:rsid w:val="002D0F69"/>
    <w:rsid w:val="002D7DC5"/>
    <w:rsid w:val="0031541B"/>
    <w:rsid w:val="00324704"/>
    <w:rsid w:val="0033207C"/>
    <w:rsid w:val="0033467C"/>
    <w:rsid w:val="00337D2E"/>
    <w:rsid w:val="00341DA0"/>
    <w:rsid w:val="00344C41"/>
    <w:rsid w:val="00350E8A"/>
    <w:rsid w:val="00364B04"/>
    <w:rsid w:val="003B6E68"/>
    <w:rsid w:val="003C3DC5"/>
    <w:rsid w:val="003D3488"/>
    <w:rsid w:val="003D5900"/>
    <w:rsid w:val="003D5DB5"/>
    <w:rsid w:val="003E21BB"/>
    <w:rsid w:val="003F6774"/>
    <w:rsid w:val="00407C08"/>
    <w:rsid w:val="004702AE"/>
    <w:rsid w:val="004757C1"/>
    <w:rsid w:val="00476E0D"/>
    <w:rsid w:val="0048274D"/>
    <w:rsid w:val="004876E0"/>
    <w:rsid w:val="004A455C"/>
    <w:rsid w:val="004B0E79"/>
    <w:rsid w:val="004E4BE4"/>
    <w:rsid w:val="004F15DB"/>
    <w:rsid w:val="005079BD"/>
    <w:rsid w:val="00512AED"/>
    <w:rsid w:val="00512BCC"/>
    <w:rsid w:val="005162D7"/>
    <w:rsid w:val="0052515C"/>
    <w:rsid w:val="005263AD"/>
    <w:rsid w:val="00542001"/>
    <w:rsid w:val="00557F6E"/>
    <w:rsid w:val="005A6CC5"/>
    <w:rsid w:val="005C0692"/>
    <w:rsid w:val="00637AC2"/>
    <w:rsid w:val="00687CB3"/>
    <w:rsid w:val="006923D4"/>
    <w:rsid w:val="00695FE7"/>
    <w:rsid w:val="006A1D27"/>
    <w:rsid w:val="006A7A7A"/>
    <w:rsid w:val="006B695A"/>
    <w:rsid w:val="006C7373"/>
    <w:rsid w:val="006D313E"/>
    <w:rsid w:val="006E10A9"/>
    <w:rsid w:val="006E1CCB"/>
    <w:rsid w:val="007422E5"/>
    <w:rsid w:val="00742488"/>
    <w:rsid w:val="00772DC3"/>
    <w:rsid w:val="008056FA"/>
    <w:rsid w:val="00817885"/>
    <w:rsid w:val="00817DF1"/>
    <w:rsid w:val="00844B11"/>
    <w:rsid w:val="00872744"/>
    <w:rsid w:val="00897CD7"/>
    <w:rsid w:val="008A665D"/>
    <w:rsid w:val="008B538D"/>
    <w:rsid w:val="008C5022"/>
    <w:rsid w:val="00905C22"/>
    <w:rsid w:val="00907BB8"/>
    <w:rsid w:val="00910742"/>
    <w:rsid w:val="00934FAE"/>
    <w:rsid w:val="00937001"/>
    <w:rsid w:val="009461F9"/>
    <w:rsid w:val="00964EFE"/>
    <w:rsid w:val="0098441E"/>
    <w:rsid w:val="0099323B"/>
    <w:rsid w:val="009B22FC"/>
    <w:rsid w:val="009D1149"/>
    <w:rsid w:val="009E2FC6"/>
    <w:rsid w:val="009F380E"/>
    <w:rsid w:val="00A033AB"/>
    <w:rsid w:val="00A058FB"/>
    <w:rsid w:val="00A128DA"/>
    <w:rsid w:val="00A306A5"/>
    <w:rsid w:val="00A40C2D"/>
    <w:rsid w:val="00A4644B"/>
    <w:rsid w:val="00A5713E"/>
    <w:rsid w:val="00A71AAC"/>
    <w:rsid w:val="00A77CEF"/>
    <w:rsid w:val="00AC052C"/>
    <w:rsid w:val="00AC0B80"/>
    <w:rsid w:val="00B117CC"/>
    <w:rsid w:val="00B27346"/>
    <w:rsid w:val="00B36E2F"/>
    <w:rsid w:val="00B45AD5"/>
    <w:rsid w:val="00B47B79"/>
    <w:rsid w:val="00B51690"/>
    <w:rsid w:val="00B6457A"/>
    <w:rsid w:val="00B7453C"/>
    <w:rsid w:val="00B82F90"/>
    <w:rsid w:val="00BA7F52"/>
    <w:rsid w:val="00BB0B57"/>
    <w:rsid w:val="00BB1C11"/>
    <w:rsid w:val="00BB70B7"/>
    <w:rsid w:val="00BF54F3"/>
    <w:rsid w:val="00BF7759"/>
    <w:rsid w:val="00C049C1"/>
    <w:rsid w:val="00C12291"/>
    <w:rsid w:val="00C32FF4"/>
    <w:rsid w:val="00C43E7F"/>
    <w:rsid w:val="00C505CF"/>
    <w:rsid w:val="00C60518"/>
    <w:rsid w:val="00CE7610"/>
    <w:rsid w:val="00D10727"/>
    <w:rsid w:val="00D23D26"/>
    <w:rsid w:val="00D26100"/>
    <w:rsid w:val="00D43BC8"/>
    <w:rsid w:val="00D605AA"/>
    <w:rsid w:val="00D77390"/>
    <w:rsid w:val="00D80A2C"/>
    <w:rsid w:val="00DA216A"/>
    <w:rsid w:val="00DB5F4B"/>
    <w:rsid w:val="00DC098E"/>
    <w:rsid w:val="00DD1108"/>
    <w:rsid w:val="00DD2588"/>
    <w:rsid w:val="00E05DE2"/>
    <w:rsid w:val="00E14368"/>
    <w:rsid w:val="00E6173D"/>
    <w:rsid w:val="00E83645"/>
    <w:rsid w:val="00E94E29"/>
    <w:rsid w:val="00EA0750"/>
    <w:rsid w:val="00EB44F1"/>
    <w:rsid w:val="00EC3CB5"/>
    <w:rsid w:val="00EC6BED"/>
    <w:rsid w:val="00ED0B32"/>
    <w:rsid w:val="00EE6F53"/>
    <w:rsid w:val="00EF2B91"/>
    <w:rsid w:val="00F04169"/>
    <w:rsid w:val="00F112CA"/>
    <w:rsid w:val="00F16731"/>
    <w:rsid w:val="00F261AB"/>
    <w:rsid w:val="00F55AC8"/>
    <w:rsid w:val="00F72023"/>
    <w:rsid w:val="00F83C46"/>
    <w:rsid w:val="00F8699C"/>
    <w:rsid w:val="00F915F7"/>
    <w:rsid w:val="00F962C9"/>
    <w:rsid w:val="00F9705C"/>
    <w:rsid w:val="00FA57DB"/>
    <w:rsid w:val="00FB0308"/>
    <w:rsid w:val="00FC3A49"/>
    <w:rsid w:val="00FD420D"/>
    <w:rsid w:val="00FE4D73"/>
    <w:rsid w:val="00FE7CC9"/>
    <w:rsid w:val="03456046"/>
    <w:rsid w:val="0AE542F4"/>
    <w:rsid w:val="11D1474A"/>
    <w:rsid w:val="1366238E"/>
    <w:rsid w:val="19EC507C"/>
    <w:rsid w:val="2396643D"/>
    <w:rsid w:val="2AB021AF"/>
    <w:rsid w:val="3CBA0719"/>
    <w:rsid w:val="42F71AD2"/>
    <w:rsid w:val="4A716BD1"/>
    <w:rsid w:val="514F3E5B"/>
    <w:rsid w:val="576D1591"/>
    <w:rsid w:val="5C481799"/>
    <w:rsid w:val="5DAD5125"/>
    <w:rsid w:val="5FFFEEA3"/>
    <w:rsid w:val="620F1E56"/>
    <w:rsid w:val="6F3FF884"/>
    <w:rsid w:val="6FF9BA5E"/>
    <w:rsid w:val="707E5C20"/>
    <w:rsid w:val="74DB2652"/>
    <w:rsid w:val="7FFF283E"/>
    <w:rsid w:val="C1FF928D"/>
    <w:rsid w:val="DBFE047A"/>
    <w:rsid w:val="EFDFC685"/>
    <w:rsid w:val="F7CB519E"/>
    <w:rsid w:val="FFEB9E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autoRedefine/>
    <w:qFormat/>
    <w:uiPriority w:val="0"/>
    <w:pPr>
      <w:tabs>
        <w:tab w:val="center" w:pos="4153"/>
        <w:tab w:val="right" w:pos="8306"/>
      </w:tabs>
      <w:snapToGrid w:val="0"/>
      <w:jc w:val="left"/>
    </w:pPr>
    <w:rPr>
      <w:sz w:val="18"/>
    </w:rPr>
  </w:style>
  <w:style w:type="paragraph" w:styleId="4">
    <w:name w:val="header"/>
    <w:basedOn w:val="1"/>
    <w:link w:val="8"/>
    <w:autoRedefine/>
    <w:qFormat/>
    <w:uiPriority w:val="0"/>
    <w:pPr>
      <w:pBdr>
        <w:bottom w:val="single" w:color="auto" w:sz="6" w:space="1"/>
      </w:pBdr>
      <w:tabs>
        <w:tab w:val="center" w:pos="4153"/>
        <w:tab w:val="right" w:pos="8306"/>
      </w:tabs>
      <w:snapToGrid w:val="0"/>
      <w:jc w:val="center"/>
    </w:pPr>
    <w:rPr>
      <w:sz w:val="18"/>
      <w:szCs w:val="18"/>
    </w:rPr>
  </w:style>
  <w:style w:type="character" w:styleId="7">
    <w:name w:val="annotation reference"/>
    <w:basedOn w:val="6"/>
    <w:qFormat/>
    <w:uiPriority w:val="0"/>
    <w:rPr>
      <w:sz w:val="21"/>
      <w:szCs w:val="21"/>
    </w:rPr>
  </w:style>
  <w:style w:type="character" w:customStyle="1" w:styleId="8">
    <w:name w:val="页眉 字符"/>
    <w:basedOn w:val="6"/>
    <w:link w:val="4"/>
    <w:autoRedefine/>
    <w:qFormat/>
    <w:uiPriority w:val="0"/>
    <w:rPr>
      <w:kern w:val="2"/>
      <w:sz w:val="18"/>
      <w:szCs w:val="18"/>
    </w:rPr>
  </w:style>
  <w:style w:type="paragraph" w:styleId="9">
    <w:name w:val="List Paragraph"/>
    <w:basedOn w:val="1"/>
    <w:qFormat/>
    <w:uiPriority w:val="34"/>
    <w:pPr>
      <w:ind w:firstLine="420" w:firstLineChars="200"/>
    </w:pPr>
  </w:style>
  <w:style w:type="paragraph" w:customStyle="1" w:styleId="10">
    <w:name w:val="段"/>
    <w:link w:val="13"/>
    <w:qFormat/>
    <w:uiPriority w:val="0"/>
    <w:pPr>
      <w:autoSpaceDE w:val="0"/>
      <w:autoSpaceDN w:val="0"/>
      <w:ind w:firstLine="420" w:firstLineChars="200"/>
      <w:jc w:val="both"/>
    </w:pPr>
    <w:rPr>
      <w:rFonts w:ascii="宋体" w:hAnsi="Times New Roman" w:eastAsia="宋体" w:cs="Times New Roman"/>
      <w:sz w:val="21"/>
      <w:lang w:val="en-US" w:eastAsia="zh-CN" w:bidi="ar-SA"/>
    </w:rPr>
  </w:style>
  <w:style w:type="paragraph" w:customStyle="1" w:styleId="11">
    <w:name w:val="标准文件_段"/>
    <w:link w:val="12"/>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character" w:customStyle="1" w:styleId="12">
    <w:name w:val="标准文件_段 Char"/>
    <w:link w:val="11"/>
    <w:qFormat/>
    <w:uiPriority w:val="0"/>
    <w:rPr>
      <w:rFonts w:ascii="宋体"/>
      <w:sz w:val="21"/>
    </w:rPr>
  </w:style>
  <w:style w:type="character" w:customStyle="1" w:styleId="13">
    <w:name w:val="段 Char"/>
    <w:link w:val="10"/>
    <w:qFormat/>
    <w:uiPriority w:val="0"/>
    <w:rPr>
      <w:rFonts w:ascii="宋体"/>
      <w:sz w:val="21"/>
    </w:rPr>
  </w:style>
  <w:style w:type="paragraph" w:customStyle="1" w:styleId="14">
    <w:name w:val="标准文件_正文表标题"/>
    <w:next w:val="11"/>
    <w:qFormat/>
    <w:uiPriority w:val="0"/>
    <w:pPr>
      <w:numPr>
        <w:ilvl w:val="0"/>
        <w:numId w:val="1"/>
      </w:numPr>
      <w:tabs>
        <w:tab w:val="left" w:pos="0"/>
      </w:tabs>
      <w:spacing w:before="50" w:beforeLines="50" w:after="50" w:afterLines="50"/>
      <w:jc w:val="center"/>
    </w:pPr>
    <w:rPr>
      <w:rFonts w:ascii="黑体" w:hAnsi="Times New Roman" w:eastAsia="黑体" w:cs="Times New Roman"/>
      <w:sz w:val="21"/>
      <w:lang w:val="en-US" w:eastAsia="zh-CN" w:bidi="ar-SA"/>
    </w:rPr>
  </w:style>
  <w:style w:type="paragraph" w:customStyle="1" w:styleId="15">
    <w:name w:val="标准文件_二级条标题"/>
    <w:next w:val="1"/>
    <w:qFormat/>
    <w:uiPriority w:val="0"/>
    <w:pPr>
      <w:widowControl w:val="0"/>
      <w:numPr>
        <w:ilvl w:val="3"/>
        <w:numId w:val="2"/>
      </w:numPr>
      <w:spacing w:before="50" w:beforeLines="50" w:after="50" w:afterLines="50"/>
      <w:jc w:val="both"/>
      <w:outlineLvl w:val="2"/>
    </w:pPr>
    <w:rPr>
      <w:rFonts w:ascii="黑体" w:hAnsi="Times New Roman" w:eastAsia="黑体" w:cs="Times New Roman"/>
      <w:sz w:val="21"/>
      <w:lang w:val="en-US" w:eastAsia="zh-CN" w:bidi="ar-SA"/>
    </w:rPr>
  </w:style>
  <w:style w:type="paragraph" w:customStyle="1" w:styleId="16">
    <w:name w:val="标准文件_三级条标题"/>
    <w:basedOn w:val="15"/>
    <w:next w:val="1"/>
    <w:qFormat/>
    <w:uiPriority w:val="0"/>
    <w:pPr>
      <w:widowControl/>
      <w:numPr>
        <w:ilvl w:val="4"/>
      </w:numPr>
      <w:ind w:left="0"/>
      <w:outlineLvl w:val="3"/>
    </w:pPr>
  </w:style>
  <w:style w:type="paragraph" w:customStyle="1" w:styleId="17">
    <w:name w:val="标准文件_四级条标题"/>
    <w:next w:val="1"/>
    <w:qFormat/>
    <w:uiPriority w:val="0"/>
    <w:pPr>
      <w:widowControl w:val="0"/>
      <w:numPr>
        <w:ilvl w:val="5"/>
        <w:numId w:val="2"/>
      </w:numPr>
      <w:spacing w:before="50" w:beforeLines="50" w:after="50" w:afterLines="50"/>
      <w:jc w:val="both"/>
      <w:outlineLvl w:val="4"/>
    </w:pPr>
    <w:rPr>
      <w:rFonts w:ascii="黑体" w:hAnsi="Times New Roman" w:eastAsia="黑体" w:cs="Times New Roman"/>
      <w:sz w:val="21"/>
      <w:lang w:val="en-US" w:eastAsia="zh-CN" w:bidi="ar-SA"/>
    </w:rPr>
  </w:style>
  <w:style w:type="paragraph" w:customStyle="1" w:styleId="18">
    <w:name w:val="标准文件_五级条标题"/>
    <w:next w:val="1"/>
    <w:qFormat/>
    <w:uiPriority w:val="0"/>
    <w:pPr>
      <w:widowControl w:val="0"/>
      <w:numPr>
        <w:ilvl w:val="6"/>
        <w:numId w:val="2"/>
      </w:numPr>
      <w:spacing w:before="50" w:beforeLines="50" w:after="50" w:afterLines="50"/>
      <w:jc w:val="both"/>
      <w:outlineLvl w:val="5"/>
    </w:pPr>
    <w:rPr>
      <w:rFonts w:ascii="黑体" w:hAnsi="Times New Roman" w:eastAsia="黑体" w:cs="Times New Roman"/>
      <w:sz w:val="21"/>
      <w:lang w:val="en-US" w:eastAsia="zh-CN" w:bidi="ar-SA"/>
    </w:rPr>
  </w:style>
  <w:style w:type="paragraph" w:customStyle="1" w:styleId="19">
    <w:name w:val="标准文件_章标题"/>
    <w:next w:val="1"/>
    <w:qFormat/>
    <w:uiPriority w:val="0"/>
    <w:pPr>
      <w:numPr>
        <w:ilvl w:val="1"/>
        <w:numId w:val="2"/>
      </w:numPr>
      <w:spacing w:before="100" w:beforeLines="100" w:after="100" w:afterLines="100"/>
      <w:jc w:val="both"/>
      <w:outlineLvl w:val="0"/>
    </w:pPr>
    <w:rPr>
      <w:rFonts w:ascii="黑体" w:hAnsi="Times New Roman" w:eastAsia="黑体" w:cs="Times New Roman"/>
      <w:sz w:val="21"/>
      <w:lang w:val="en-US" w:eastAsia="zh-CN" w:bidi="ar-SA"/>
    </w:rPr>
  </w:style>
  <w:style w:type="paragraph" w:customStyle="1" w:styleId="20">
    <w:name w:val="标准文件_一级条标题"/>
    <w:basedOn w:val="19"/>
    <w:next w:val="1"/>
    <w:qFormat/>
    <w:uiPriority w:val="0"/>
    <w:pPr>
      <w:numPr>
        <w:ilvl w:val="2"/>
      </w:numPr>
      <w:spacing w:before="50" w:beforeLines="50" w:after="50" w:afterLines="50"/>
      <w:ind w:left="0"/>
      <w:outlineLvl w:val="1"/>
    </w:pPr>
  </w:style>
  <w:style w:type="paragraph" w:customStyle="1" w:styleId="21">
    <w:name w:val="前言标题"/>
    <w:next w:val="1"/>
    <w:qFormat/>
    <w:uiPriority w:val="0"/>
    <w:pPr>
      <w:numPr>
        <w:ilvl w:val="0"/>
        <w:numId w:val="2"/>
      </w:num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22">
    <w:name w:val="修订1"/>
    <w:hidden/>
    <w:unhideWhenUsed/>
    <w:qFormat/>
    <w:uiPriority w:val="99"/>
    <w:rPr>
      <w:rFonts w:ascii="Times New Roman" w:hAnsi="Times New Roman" w:eastAsia="宋体" w:cs="Times New Roman"/>
      <w:kern w:val="2"/>
      <w:sz w:val="21"/>
      <w:szCs w:val="24"/>
      <w:lang w:val="en-US" w:eastAsia="zh-CN" w:bidi="ar-SA"/>
    </w:rPr>
  </w:style>
  <w:style w:type="paragraph" w:customStyle="1" w:styleId="23">
    <w:name w:val="Revision"/>
    <w:hidden/>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standalone='no'?>
<b:Sources xmlns:b="http://schemas.openxmlformats.org/officeDocument/2006/bibliography" Version="6" xmlns:b="http://schemas.openxmlformats.org/officeDocument/2006/bibliography" StyleName="APA" SelectedStyle="\APASixthEditionOfficeOnline.xsl"/>

</file>

<file path=customXml/item2.xml><?xml version="1.0" encoding="utf-8"?>
<contractReview xmlns="http://schemas.wps.cn/vas-ai-hub/contract-review">
  <reviewItems xmlns="http://schemas.wps.cn/vas-ai-hub/contract-review">
    <reviewItem xmlns="http://schemas.wps.cn/vas-ai-hub/contract-review">
      <errorID xmlns="http://schemas.wps.cn/vas-ai-hub/contract-review">b426761a-9384-4ed7-aed5-6ad14cd27d17</errorID>
      <errorWord xmlns="http://schemas.wps.cn/vas-ai-hub/contract-review">亟需</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亟须</item>
      </candidateList>
      <explain xmlns="http://schemas.wps.cn/vas-ai-hub/contract-review"/>
      <paraID xmlns="http://schemas.wps.cn/vas-ai-hub/contract-review">4B6DC44A</paraID>
      <start xmlns="http://schemas.wps.cn/vas-ai-hub/contract-review">17</start>
      <end xmlns="http://schemas.wps.cn/vas-ai-hub/contract-review">19</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b506347c-5989-4d97-9d56-d5c7413fa607</errorID>
      <errorWord xmlns="http://schemas.wps.cn/vas-ai-hub/contract-review">亟需</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亟须</item>
      </candidateList>
      <explain xmlns="http://schemas.wps.cn/vas-ai-hub/contract-review"/>
      <paraID xmlns="http://schemas.wps.cn/vas-ai-hub/contract-review">49ECA2CE</paraID>
      <start xmlns="http://schemas.wps.cn/vas-ai-hub/contract-review">260</start>
      <end xmlns="http://schemas.wps.cn/vas-ai-hub/contract-review">262</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dd2b2fdb-63e2-4318-8bcb-136c7bc951c7</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根据国标GB/T 15834-2011《标点符号用法》中的4.5.3.5节，标有引号的并列成分之间、标有书名号的并列成分之间通常不用顿号。如“《红楼梦》《三国演义》《西游记》《水浒传》，是我国长篇小说的四大名著”。</explain>
      <paraID xmlns="http://schemas.wps.cn/vas-ai-hub/contract-review">6039A7B5</paraID>
      <start xmlns="http://schemas.wps.cn/vas-ai-hub/contract-review">227</start>
      <end xmlns="http://schemas.wps.cn/vas-ai-hub/contract-review">230</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d71a2c24-b89a-4ba8-a0ea-34b1b58d93cd</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根据国标GB/T 15834-2011《标点符号用法》中的4.5.3.5节，标有引号的并列成分之间、标有书名号的并列成分之间通常不用顿号。如“《红楼梦》《三国演义》《西游记》《水浒传》，是我国长篇小说的四大名著”。</explain>
      <paraID xmlns="http://schemas.wps.cn/vas-ai-hub/contract-review">6039A7B5</paraID>
      <start xmlns="http://schemas.wps.cn/vas-ai-hub/contract-review">367</start>
      <end xmlns="http://schemas.wps.cn/vas-ai-hub/contract-review">370</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7ee1da34-c705-42f0-84b8-29acaf43fa32</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根据国标GB/T 15834-2011《标点符号用法》中的4.5.3.5节，标有引号的并列成分之间、标有书名号的并列成分之间通常不用顿号。如“《红楼梦》《三国演义》《西游记》《水浒传》，是我国长篇小说的四大名著”。</explain>
      <paraID xmlns="http://schemas.wps.cn/vas-ai-hub/contract-review">6039A7B5</paraID>
      <start xmlns="http://schemas.wps.cn/vas-ai-hub/contract-review">378</start>
      <end xmlns="http://schemas.wps.cn/vas-ai-hub/contract-review">381</end>
      <status xmlns="http://schemas.wps.cn/vas-ai-hub/contract-review">ignored</status>
      <modifiedWord xmlns="http://schemas.wps.cn/vas-ai-hub/contract-review"/>
      <trackRevisions xmlns="http://schemas.wps.cn/vas-ai-hub/contract-review">false</trackRevisions>
    </reviewItem>
  </reviewItems>
  <config xmlns="http://schemas.wps.cn/vas-ai-hub/contract-review"/>
</contractReview>
</file>

<file path=customXml/itemProps1.xml><?xml version="1.0" encoding="utf-8"?>
<ds:datastoreItem xmlns:ds="http://schemas.openxmlformats.org/officeDocument/2006/customXml" ds:itemID="{1815621A-E26E-496E-AA16-8426B430BBE2}">
  <ds:schemaRefs/>
</ds:datastoreItem>
</file>

<file path=customXml/itemProps2.xml><?xml version="1.0" encoding="utf-8"?>
<ds:datastoreItem xmlns:ds="http://schemas.openxmlformats.org/officeDocument/2006/customXml" ds:itemID="{93FB35CE-7119-471E-B826-019EF2AE47F9}">
  <ds:schemaRefs/>
</ds:datastoreItem>
</file>

<file path=docProps/app.xml><?xml version="1.0" encoding="utf-8"?>
<Properties xmlns="http://schemas.openxmlformats.org/officeDocument/2006/extended-properties" xmlns:vt="http://schemas.openxmlformats.org/officeDocument/2006/docPropsVTypes">
  <Template>Normal</Template>
  <Pages>15</Pages>
  <Words>4063</Words>
  <Characters>4349</Characters>
  <Lines>181</Lines>
  <Paragraphs>129</Paragraphs>
  <TotalTime>120</TotalTime>
  <ScaleCrop>false</ScaleCrop>
  <LinksUpToDate>false</LinksUpToDate>
  <CharactersWithSpaces>8283</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2026-08-07T10:31:00Z</dcterms:created>
  <dc:creator>windowns</dc:creator>
  <cp:lastModifiedBy>nyncj</cp:lastModifiedBy>
  <cp:lastPrinted>2026-06-17T09:20:00Z</cp:lastPrinted>
  <dcterms:modified xsi:type="dcterms:W3CDTF">2026-08-25T14:27:52Z</dcterms:modified>
  <dc:title>《XXXX》北京市地方标准编制说明</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BD6A957712DE9CD1E8358D6A0BAF5968_43</vt:lpwstr>
  </property>
  <property fmtid="{D5CDD505-2E9C-101B-9397-08002B2CF9AE}" pid="4" name="KSOTemplateDocerSaveRecord">
    <vt:lpwstr>eyJoZGlkIjoiZGFhYjhhZjBiZDY3ZWY2YTE2Y2EwZmNmNzQ4YWE0NzQiLCJ1c2VySWQiOiI2OTI4MTM3NzYifQ==</vt:lpwstr>
  </property>
</Properties>
</file>