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BF39D">
      <w:pPr>
        <w:jc w:val="center"/>
        <w:rPr>
          <w:rFonts w:ascii="华文中宋" w:hAnsi="华文中宋" w:eastAsia="华文中宋"/>
          <w:sz w:val="44"/>
          <w:szCs w:val="44"/>
        </w:rPr>
      </w:pPr>
      <w:r>
        <w:rPr>
          <w:rFonts w:hint="eastAsia" w:ascii="华文中宋" w:hAnsi="华文中宋" w:eastAsia="华文中宋"/>
          <w:sz w:val="44"/>
          <w:szCs w:val="44"/>
        </w:rPr>
        <w:t>《保护性耕作作业技术规范》</w:t>
      </w:r>
    </w:p>
    <w:p w14:paraId="5A07571A">
      <w:pPr>
        <w:jc w:val="center"/>
        <w:rPr>
          <w:rFonts w:ascii="华文中宋" w:hAnsi="华文中宋" w:eastAsia="华文中宋"/>
          <w:sz w:val="44"/>
          <w:szCs w:val="44"/>
        </w:rPr>
      </w:pPr>
      <w:r>
        <w:rPr>
          <w:rFonts w:hint="eastAsia" w:ascii="华文中宋" w:hAnsi="华文中宋" w:eastAsia="华文中宋"/>
          <w:sz w:val="44"/>
          <w:szCs w:val="44"/>
        </w:rPr>
        <w:t>北京市地方标准编制说明</w:t>
      </w:r>
    </w:p>
    <w:p w14:paraId="74D17A3B">
      <w:pPr>
        <w:rPr>
          <w:sz w:val="32"/>
        </w:rPr>
      </w:pPr>
    </w:p>
    <w:p w14:paraId="7937C693">
      <w:pPr>
        <w:numPr>
          <w:ilvl w:val="0"/>
          <w:numId w:val="2"/>
        </w:numPr>
        <w:tabs>
          <w:tab w:val="left" w:pos="630"/>
        </w:tabs>
        <w:ind w:left="0" w:leftChars="0" w:firstLine="420" w:firstLineChars="0"/>
        <w:rPr>
          <w:rFonts w:ascii="黑体" w:hAnsi="黑体" w:eastAsia="黑体" w:cs="黑体"/>
          <w:sz w:val="32"/>
        </w:rPr>
      </w:pPr>
      <w:r>
        <w:rPr>
          <w:rFonts w:hint="eastAsia" w:ascii="黑体" w:hAnsi="黑体" w:eastAsia="黑体" w:cs="黑体"/>
          <w:sz w:val="32"/>
        </w:rPr>
        <w:t>任务来源，起草单位，协作单位，主要起草人</w:t>
      </w:r>
    </w:p>
    <w:p w14:paraId="38C4D8C8">
      <w:pPr>
        <w:ind w:firstLine="640" w:firstLineChars="200"/>
        <w:rPr>
          <w:rFonts w:ascii="仿宋_GB2312" w:eastAsia="仿宋_GB2312"/>
          <w:sz w:val="32"/>
        </w:rPr>
      </w:pPr>
      <w:r>
        <w:rPr>
          <w:rFonts w:hint="eastAsia" w:ascii="仿宋_GB2312" w:eastAsia="仿宋_GB2312"/>
          <w:sz w:val="32"/>
        </w:rPr>
        <w:t>根据《北京市市场监督管理局关于印发2024年北京市地方标准制定项目计划的通知》(京市监发【2024】4号)相关要求，对《保护性耕作作业技术规范》地方标准进行制定，立项编号：20241050。</w:t>
      </w:r>
    </w:p>
    <w:p w14:paraId="628AC228">
      <w:pPr>
        <w:ind w:firstLine="640" w:firstLineChars="200"/>
        <w:rPr>
          <w:rFonts w:ascii="仿宋_GB2312" w:eastAsia="仿宋_GB2312"/>
          <w:sz w:val="32"/>
        </w:rPr>
      </w:pPr>
      <w:r>
        <w:rPr>
          <w:rFonts w:hint="eastAsia" w:ascii="仿宋_GB2312" w:eastAsia="仿宋_GB2312"/>
          <w:sz w:val="32"/>
        </w:rPr>
        <w:t>起草单位：北京市农业机械试验鉴定推广站、北京市农林科学院智能装备技术研究中心、农芯科技（北京）有限责任公司。</w:t>
      </w:r>
    </w:p>
    <w:p w14:paraId="6F6792E2">
      <w:pPr>
        <w:ind w:firstLine="630"/>
        <w:rPr>
          <w:rFonts w:hint="eastAsia" w:ascii="仿宋_GB2312" w:eastAsia="仿宋_GB2312"/>
          <w:sz w:val="32"/>
        </w:rPr>
      </w:pPr>
      <w:r>
        <w:rPr>
          <w:rFonts w:hint="eastAsia" w:ascii="仿宋_GB2312" w:eastAsia="仿宋_GB2312"/>
          <w:sz w:val="32"/>
        </w:rPr>
        <w:t>起草人：</w:t>
      </w:r>
    </w:p>
    <w:p w14:paraId="62F2F075">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制定标准的必要性和意义</w:t>
      </w:r>
    </w:p>
    <w:p w14:paraId="315E7CF8">
      <w:pPr>
        <w:ind w:firstLine="640" w:firstLineChars="200"/>
        <w:rPr>
          <w:rFonts w:ascii="仿宋_GB2312" w:eastAsia="仿宋_GB2312"/>
          <w:sz w:val="32"/>
        </w:rPr>
      </w:pPr>
      <w:r>
        <w:rPr>
          <w:rFonts w:hint="eastAsia" w:ascii="仿宋_GB2312" w:eastAsia="仿宋_GB2312"/>
          <w:sz w:val="32"/>
        </w:rPr>
        <w:t>（一）现状</w:t>
      </w:r>
    </w:p>
    <w:p w14:paraId="685DC4AD">
      <w:pPr>
        <w:ind w:firstLine="640" w:firstLineChars="200"/>
        <w:rPr>
          <w:rFonts w:ascii="仿宋_GB2312" w:eastAsia="仿宋_GB2312"/>
          <w:sz w:val="32"/>
        </w:rPr>
      </w:pPr>
      <w:r>
        <w:rPr>
          <w:rFonts w:hint="eastAsia" w:ascii="仿宋_GB2312" w:eastAsia="仿宋_GB2312"/>
          <w:sz w:val="32"/>
          <w:lang w:val="en-US" w:eastAsia="zh-CN"/>
        </w:rPr>
        <w:t>2017-</w:t>
      </w:r>
      <w:r>
        <w:rPr>
          <w:rFonts w:hint="eastAsia" w:ascii="仿宋_GB2312" w:eastAsia="仿宋_GB2312"/>
          <w:sz w:val="32"/>
        </w:rPr>
        <w:t>2019年</w:t>
      </w:r>
      <w:r>
        <w:rPr>
          <w:rFonts w:hint="eastAsia" w:ascii="仿宋_GB2312" w:eastAsia="仿宋_GB2312"/>
          <w:sz w:val="32"/>
          <w:lang w:eastAsia="zh-CN"/>
        </w:rPr>
        <w:t>，北京市农机鉴定推广站陆续申报实施了《农机调度及作业质量监测技术集成试验研究》《</w:t>
      </w:r>
      <w:r>
        <w:rPr>
          <w:rFonts w:hint="eastAsia" w:ascii="仿宋_GB2312" w:eastAsia="仿宋_GB2312"/>
          <w:sz w:val="32"/>
        </w:rPr>
        <w:t>农机作业关键环节质量监测技术集成试验应用</w:t>
      </w:r>
      <w:r>
        <w:rPr>
          <w:rFonts w:hint="eastAsia" w:ascii="仿宋_GB2312" w:eastAsia="仿宋_GB2312"/>
          <w:sz w:val="32"/>
          <w:lang w:eastAsia="zh-CN"/>
        </w:rPr>
        <w:t>》等项目，针对农机深松整地、秸秆粉碎覆盖还田、少免耕播种等关键保护性耕作作业质量监测技术开展了研究、试验示范和推广工作。</w:t>
      </w:r>
      <w:r>
        <w:rPr>
          <w:rFonts w:hint="eastAsia" w:ascii="仿宋_GB2312" w:eastAsia="仿宋_GB2312"/>
          <w:sz w:val="32"/>
        </w:rPr>
        <w:t>从2020年开始，市农业农村局制定了系列政策，引导全市按照新的管理方式加大农机深松整地、秸秆粉碎覆盖还田、少免耕播种等关键保护性耕作技术推广。</w:t>
      </w:r>
      <w:r>
        <w:rPr>
          <w:rFonts w:hint="eastAsia" w:ascii="仿宋_GB2312" w:eastAsia="仿宋_GB2312"/>
          <w:sz w:val="32"/>
          <w:lang w:eastAsia="zh-CN"/>
        </w:rPr>
        <w:t>全市农机陆续安装</w:t>
      </w:r>
      <w:r>
        <w:rPr>
          <w:rFonts w:hint="eastAsia" w:ascii="仿宋_GB2312" w:eastAsia="仿宋_GB2312"/>
          <w:sz w:val="32"/>
        </w:rPr>
        <w:t>农机深松整地、秸秆粉碎覆盖还田、少免耕播种三项作业监测终端，并实现定位信息、作业深度、作业面积、作业图像等监测数据按要求传输到北京市农机调度中心。目前，累计在全市147家合作社安装智能监测终端1480余台，监测面积超过180万亩。应用覆盖率达到80%以上，生态效益显著，农田扬尘可减少32.81%-40.42%。</w:t>
      </w:r>
    </w:p>
    <w:p w14:paraId="01BB8674">
      <w:pPr>
        <w:ind w:firstLine="640" w:firstLineChars="200"/>
        <w:rPr>
          <w:rFonts w:ascii="仿宋_GB2312" w:eastAsia="仿宋_GB2312"/>
          <w:sz w:val="32"/>
        </w:rPr>
      </w:pPr>
      <w:r>
        <w:rPr>
          <w:rFonts w:hint="eastAsia" w:ascii="仿宋_GB2312" w:eastAsia="仿宋_GB2312"/>
          <w:sz w:val="32"/>
        </w:rPr>
        <w:t xml:space="preserve">（二）必要性  </w:t>
      </w:r>
    </w:p>
    <w:p w14:paraId="2F393690">
      <w:pPr>
        <w:ind w:firstLine="640" w:firstLineChars="200"/>
      </w:pPr>
      <w:r>
        <w:rPr>
          <w:rFonts w:hint="eastAsia" w:ascii="仿宋_GB2312" w:eastAsia="仿宋_GB2312"/>
          <w:sz w:val="32"/>
        </w:rPr>
        <w:t>1</w:t>
      </w:r>
      <w:r>
        <w:rPr>
          <w:rFonts w:hint="eastAsia" w:ascii="仿宋_GB2312" w:eastAsia="仿宋_GB2312"/>
          <w:sz w:val="32"/>
          <w:lang w:eastAsia="zh-CN"/>
        </w:rPr>
        <w:t>.</w:t>
      </w:r>
      <w:r>
        <w:rPr>
          <w:rFonts w:hint="eastAsia" w:ascii="仿宋_GB2312" w:eastAsia="仿宋_GB2312"/>
          <w:sz w:val="32"/>
        </w:rPr>
        <w:t>规范我市保护性耕作作业质量及监测技术的需要。当前，多个省份围绕农机深松整地作业开展了作业质量监测技术的推广应用，以至市场上多家企业开展作业质量监测技术的研究与推广，技术参差不齐，在作业环节上多数不包括秸秆粉碎覆盖还田和少免耕播种；在技术构成上有的缺少身份识别传感器；在监测精准度上部分产品的面积和作业质量计算误差不能达到我市推广要求。因此，制定本项技术要求，有利于规范我市准入门槛，提升保护性耕作作业质量监测的整体水平。</w:t>
      </w:r>
    </w:p>
    <w:p w14:paraId="04D65594">
      <w:pPr>
        <w:numPr>
          <w:ilvl w:val="0"/>
          <w:numId w:val="0"/>
        </w:numPr>
        <w:ind w:firstLine="640" w:firstLineChars="2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建设基于保护性耕作作业的北京农机调度中心大数据平台的需要。目前，我市初步建设了北京农机调度中心大数据平台，并且集成了2家作业质量监测技术研发企业的数据，在数据集成过程中，两家企业的数据设计、数据结构、数据传输时间、数据打包方式、数据解析方法、数据存储手段等差异很大，随着下一步保护性耕作技术在我市推广规模的不断扩大，将吸引更多的企业和产品，对于北京农机调度中心大数据平台的建设带来了较大的挑战，因此，非常有必要通过标准规范，真正意义上指导保护性耕作作业质量监测终端生产，逐步完善监测保护性耕作的平台，为后期的数据分析、利用提供基础。</w:t>
      </w:r>
    </w:p>
    <w:p w14:paraId="400EE090">
      <w:pPr>
        <w:ind w:firstLine="640" w:firstLineChars="200"/>
        <w:rPr>
          <w:rFonts w:ascii="仿宋_GB2312" w:eastAsia="仿宋_GB2312"/>
          <w:sz w:val="32"/>
        </w:rPr>
      </w:pPr>
      <w:r>
        <w:rPr>
          <w:rFonts w:hint="eastAsia" w:ascii="仿宋_GB2312" w:eastAsia="仿宋_GB2312"/>
          <w:sz w:val="32"/>
        </w:rPr>
        <w:t>（三）意义</w:t>
      </w:r>
    </w:p>
    <w:p w14:paraId="627F0B9A">
      <w:pPr>
        <w:ind w:firstLine="640" w:firstLineChars="200"/>
        <w:rPr>
          <w:rFonts w:ascii="仿宋_GB2312" w:eastAsia="仿宋_GB2312"/>
          <w:sz w:val="32"/>
        </w:rPr>
      </w:pPr>
      <w:r>
        <w:rPr>
          <w:rFonts w:hint="eastAsia" w:ascii="仿宋_GB2312" w:eastAsia="仿宋_GB2312"/>
          <w:sz w:val="32"/>
        </w:rPr>
        <w:t>1</w:t>
      </w:r>
      <w:r>
        <w:rPr>
          <w:rFonts w:hint="eastAsia" w:ascii="仿宋_GB2312" w:eastAsia="仿宋_GB2312"/>
          <w:sz w:val="32"/>
          <w:lang w:val="en-US" w:eastAsia="zh-CN"/>
        </w:rPr>
        <w:t>.</w:t>
      </w:r>
      <w:r>
        <w:rPr>
          <w:rFonts w:hint="eastAsia" w:ascii="仿宋_GB2312" w:eastAsia="仿宋_GB2312"/>
          <w:sz w:val="32"/>
        </w:rPr>
        <w:t>保障保护性耕作抑制扬尘效果，提升农业生态水平。项目组在顺义等8个区安装了总计30套扬尘监测设备，组织中国农业大学专家团队对监测数据分别进行采集和分析，报告数据表明：采用保护性耕作技术对农田扬尘抑制效果显著，农田扬尘可减少32.81%-40.42%，采用多覆盖、少动土的高质量保护性耕作地块抑制扬尘效果尤为明显。</w:t>
      </w:r>
    </w:p>
    <w:p w14:paraId="51173290">
      <w:pPr>
        <w:ind w:firstLine="640" w:firstLineChars="200"/>
        <w:rPr>
          <w:rFonts w:ascii="仿宋_GB2312" w:eastAsia="仿宋_GB2312"/>
          <w:sz w:val="32"/>
        </w:rPr>
      </w:pPr>
      <w:r>
        <w:rPr>
          <w:rFonts w:hint="eastAsia" w:ascii="仿宋_GB2312" w:eastAsia="仿宋_GB2312"/>
          <w:sz w:val="32"/>
        </w:rPr>
        <w:t>2</w:t>
      </w:r>
      <w:r>
        <w:rPr>
          <w:rFonts w:hint="eastAsia" w:ascii="仿宋_GB2312" w:eastAsia="仿宋_GB2312"/>
          <w:sz w:val="32"/>
          <w:lang w:val="en-US" w:eastAsia="zh-CN"/>
        </w:rPr>
        <w:t>.</w:t>
      </w:r>
      <w:r>
        <w:rPr>
          <w:rFonts w:hint="eastAsia" w:ascii="仿宋_GB2312" w:eastAsia="仿宋_GB2312"/>
          <w:sz w:val="32"/>
        </w:rPr>
        <w:t>提升市区两级农机管理部门信息化管理科学水平。为产业宏观决策提供科学数据支撑，便于北京市和各区农机主管部门实时掌握市、区各级农机实时及历年作业信息、机具投入使用情况、使用效率等。通过监测数据的汇总和管理，进行多维度的数据分析，为政府主管部门的管理、决策，以及政策制定、政策实施效果提供数据支持。</w:t>
      </w:r>
    </w:p>
    <w:p w14:paraId="4B2D18E4">
      <w:pPr>
        <w:ind w:firstLine="640" w:firstLineChars="200"/>
        <w:rPr>
          <w:rFonts w:ascii="仿宋_GB2312" w:eastAsia="仿宋_GB2312"/>
          <w:sz w:val="32"/>
        </w:rPr>
      </w:pPr>
      <w:r>
        <w:rPr>
          <w:rFonts w:hint="eastAsia" w:ascii="仿宋_GB2312" w:eastAsia="仿宋_GB2312"/>
          <w:sz w:val="32"/>
        </w:rPr>
        <w:t>3</w:t>
      </w:r>
      <w:r>
        <w:rPr>
          <w:rFonts w:hint="eastAsia" w:ascii="仿宋_GB2312" w:eastAsia="仿宋_GB2312"/>
          <w:sz w:val="32"/>
          <w:lang w:val="en-US" w:eastAsia="zh-CN"/>
        </w:rPr>
        <w:t>.</w:t>
      </w:r>
      <w:r>
        <w:rPr>
          <w:rFonts w:hint="eastAsia" w:ascii="仿宋_GB2312" w:eastAsia="仿宋_GB2312"/>
          <w:sz w:val="32"/>
        </w:rPr>
        <w:t>实现提质增效，藏粮于地、藏粮于技。通过深松监测技术大面积应用，实现深松、少免耕播种、秸秆还田等环节作业面积监测，确保了深松、少免耕播种、秸秆还田等环节作业质量，有利于最大程度的发挥土地的生产能力，大幅提高了农机合作社实际作业质量，为土壤改良、作物增产提供了保障。</w:t>
      </w:r>
    </w:p>
    <w:p w14:paraId="4A490408">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主要工作过程</w:t>
      </w:r>
    </w:p>
    <w:p w14:paraId="02E1FE0D">
      <w:pPr>
        <w:ind w:firstLine="640" w:firstLineChars="200"/>
        <w:rPr>
          <w:rFonts w:ascii="仿宋_GB2312" w:eastAsia="仿宋_GB2312"/>
          <w:sz w:val="32"/>
        </w:rPr>
      </w:pPr>
      <w:r>
        <w:rPr>
          <w:rFonts w:hint="eastAsia" w:ascii="仿宋_GB2312" w:eastAsia="仿宋_GB2312"/>
          <w:sz w:val="32"/>
          <w:lang w:eastAsia="zh-CN"/>
        </w:rPr>
        <w:t>（一）</w:t>
      </w:r>
      <w:r>
        <w:rPr>
          <w:rFonts w:hint="eastAsia" w:ascii="仿宋_GB2312" w:eastAsia="仿宋_GB2312"/>
          <w:sz w:val="32"/>
        </w:rPr>
        <w:t>2023年1月-2023年8月，根据北京市农业农村局对北京市地方标准制修订计划方案，组织标准开题和内部研讨。按照标准制定的各项要求成立标准起草小组，明确小组各成员的工作内容和任务，确定标准方向，组织搜集相关材料，邀请行业专家提供意见，撰写完成标准申报书和规范草案初稿。</w:t>
      </w:r>
    </w:p>
    <w:p w14:paraId="6C622158">
      <w:pPr>
        <w:ind w:firstLine="640" w:firstLineChars="200"/>
        <w:rPr>
          <w:rFonts w:ascii="仿宋_GB2312" w:eastAsia="仿宋_GB2312"/>
          <w:sz w:val="32"/>
        </w:rPr>
      </w:pPr>
      <w:r>
        <w:rPr>
          <w:rFonts w:hint="eastAsia" w:ascii="仿宋_GB2312" w:eastAsia="仿宋_GB2312"/>
          <w:sz w:val="32"/>
          <w:lang w:eastAsia="zh-CN"/>
        </w:rPr>
        <w:t>（二）</w:t>
      </w:r>
      <w:r>
        <w:rPr>
          <w:rFonts w:hint="eastAsia" w:ascii="仿宋_GB2312" w:eastAsia="仿宋_GB2312"/>
          <w:sz w:val="32"/>
        </w:rPr>
        <w:t>2023年9月-2023年12月，参加北京市农业农村局组织的标准立项评审会。根据行业主管部门和各评审专家意见对标准材料修改完善。</w:t>
      </w:r>
    </w:p>
    <w:p w14:paraId="74852DF9">
      <w:pPr>
        <w:ind w:firstLine="640" w:firstLineChars="200"/>
        <w:rPr>
          <w:rFonts w:hint="eastAsia" w:ascii="仿宋_GB2312" w:eastAsia="仿宋_GB2312"/>
          <w:sz w:val="32"/>
        </w:rPr>
      </w:pPr>
      <w:r>
        <w:rPr>
          <w:rFonts w:hint="eastAsia" w:ascii="仿宋_GB2312" w:eastAsia="仿宋_GB2312"/>
          <w:sz w:val="32"/>
          <w:lang w:eastAsia="zh-CN"/>
        </w:rPr>
        <w:t>（三）</w:t>
      </w:r>
      <w:r>
        <w:rPr>
          <w:rFonts w:hint="eastAsia" w:ascii="仿宋_GB2312" w:eastAsia="仿宋_GB2312"/>
          <w:sz w:val="32"/>
        </w:rPr>
        <w:t>2024年1月-2024年</w:t>
      </w:r>
      <w:r>
        <w:rPr>
          <w:rFonts w:hint="eastAsia" w:ascii="仿宋_GB2312" w:eastAsia="仿宋_GB2312"/>
          <w:sz w:val="32"/>
          <w:lang w:val="en-US" w:eastAsia="zh-CN"/>
        </w:rPr>
        <w:t>4</w:t>
      </w:r>
      <w:r>
        <w:rPr>
          <w:rFonts w:hint="eastAsia" w:ascii="仿宋_GB2312" w:eastAsia="仿宋_GB2312"/>
          <w:sz w:val="32"/>
        </w:rPr>
        <w:t>月，完善标准文本，撰写标准编制说明。</w:t>
      </w:r>
    </w:p>
    <w:p w14:paraId="07B995FB">
      <w:pPr>
        <w:pStyle w:val="2"/>
        <w:ind w:firstLine="640" w:firstLineChars="200"/>
        <w:rPr>
          <w:rFonts w:eastAsia="仿宋_GB2312"/>
        </w:rPr>
      </w:pPr>
      <w:r>
        <w:rPr>
          <w:rFonts w:hint="eastAsia" w:ascii="仿宋_GB2312" w:eastAsia="仿宋_GB2312"/>
          <w:sz w:val="32"/>
          <w:lang w:eastAsia="zh-CN"/>
        </w:rPr>
        <w:t>（四）</w:t>
      </w:r>
      <w:r>
        <w:rPr>
          <w:rFonts w:hint="eastAsia" w:ascii="仿宋_GB2312" w:eastAsia="仿宋_GB2312"/>
          <w:sz w:val="32"/>
        </w:rPr>
        <w:t>2024年5月</w:t>
      </w:r>
      <w:r>
        <w:rPr>
          <w:rFonts w:hint="eastAsia" w:ascii="仿宋_GB2312" w:eastAsia="仿宋_GB2312"/>
          <w:sz w:val="32"/>
          <w:lang w:val="en-US" w:eastAsia="zh-CN"/>
        </w:rPr>
        <w:t>16</w:t>
      </w:r>
      <w:r>
        <w:rPr>
          <w:rFonts w:ascii="仿宋_GB2312" w:eastAsia="仿宋_GB2312"/>
          <w:sz w:val="32"/>
        </w:rPr>
        <w:t>日</w:t>
      </w:r>
      <w:r>
        <w:rPr>
          <w:rFonts w:hint="eastAsia" w:ascii="仿宋_GB2312" w:eastAsia="仿宋_GB2312"/>
          <w:sz w:val="32"/>
        </w:rPr>
        <w:t>，北京市</w:t>
      </w:r>
      <w:r>
        <w:rPr>
          <w:rFonts w:ascii="仿宋_GB2312" w:eastAsia="仿宋_GB2312"/>
          <w:sz w:val="32"/>
        </w:rPr>
        <w:t>农业农村局组织</w:t>
      </w:r>
      <w:r>
        <w:rPr>
          <w:rFonts w:hint="eastAsia" w:ascii="仿宋_GB2312" w:eastAsia="仿宋_GB2312"/>
          <w:sz w:val="32"/>
        </w:rPr>
        <w:t>召开了标准预审会，根据行业主管部门和各评审专家意见对标准材料修改完善，</w:t>
      </w:r>
      <w:r>
        <w:rPr>
          <w:rFonts w:ascii="仿宋_GB2312" w:eastAsia="仿宋_GB2312"/>
          <w:sz w:val="32"/>
        </w:rPr>
        <w:t>形成了最终的标准征求意见稿</w:t>
      </w:r>
      <w:r>
        <w:rPr>
          <w:rFonts w:hint="eastAsia" w:ascii="仿宋_GB2312" w:eastAsia="仿宋_GB2312"/>
          <w:sz w:val="32"/>
        </w:rPr>
        <w:t>。</w:t>
      </w:r>
    </w:p>
    <w:p w14:paraId="1A85DD0A">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制定标准的原则和依据，与现行法律、法规、标准的关系</w:t>
      </w:r>
    </w:p>
    <w:p w14:paraId="3677F8F3">
      <w:pPr>
        <w:ind w:firstLine="640" w:firstLineChars="200"/>
        <w:rPr>
          <w:rFonts w:ascii="仿宋_GB2312" w:eastAsia="仿宋_GB2312"/>
          <w:sz w:val="32"/>
        </w:rPr>
      </w:pPr>
      <w:r>
        <w:rPr>
          <w:rFonts w:hint="eastAsia" w:ascii="仿宋_GB2312" w:eastAsia="仿宋_GB2312"/>
          <w:sz w:val="32"/>
        </w:rPr>
        <w:t>本文件编写按GB/T 1.1-2020《标准化工作导则 第1部分：标准化文件的结构和起草规则》的规定起草。</w:t>
      </w:r>
    </w:p>
    <w:p w14:paraId="2129BA8D">
      <w:pPr>
        <w:ind w:firstLine="640" w:firstLineChars="200"/>
        <w:rPr>
          <w:rFonts w:ascii="仿宋_GB2312" w:eastAsia="仿宋_GB2312"/>
          <w:sz w:val="32"/>
        </w:rPr>
      </w:pPr>
      <w:r>
        <w:rPr>
          <w:rFonts w:hint="eastAsia" w:ascii="仿宋_GB2312" w:eastAsia="仿宋_GB2312"/>
          <w:sz w:val="32"/>
        </w:rPr>
        <w:t>本文件主要是用程序化、具体化的技术内容指导保护性耕作作业人员进行科学、规范的操作，文件制订过程中注意到有关现行法律、法规和强制性国家标准的内容，文件内容中没有与上述规定有明显相驳的内容。</w:t>
      </w:r>
    </w:p>
    <w:p w14:paraId="1E983D8A">
      <w:pPr>
        <w:rPr>
          <w:rFonts w:hint="eastAsia" w:ascii="仿宋_GB2312" w:eastAsia="仿宋_GB2312"/>
          <w:sz w:val="32"/>
        </w:rPr>
      </w:pPr>
      <w:r>
        <w:rPr>
          <w:rFonts w:hint="eastAsia" w:ascii="仿宋_GB2312" w:eastAsia="仿宋_GB2312"/>
          <w:sz w:val="32"/>
        </w:rPr>
        <w:t>本文件参考的标准如下：</w:t>
      </w:r>
    </w:p>
    <w:p w14:paraId="3A8244E3">
      <w:pPr>
        <w:pStyle w:val="18"/>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GB/T 20865  免（少）耕施肥播种机</w:t>
      </w:r>
    </w:p>
    <w:p w14:paraId="23CCC77F">
      <w:pPr>
        <w:pStyle w:val="18"/>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GB/T 24675.2  保护性耕作机械  第2部分：深松机</w:t>
      </w:r>
    </w:p>
    <w:p w14:paraId="46584EA5">
      <w:pPr>
        <w:pStyle w:val="18"/>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GB/T 24675.6  保护性耕作机械  第6部分：秸秆粉碎还田机</w:t>
      </w:r>
    </w:p>
    <w:p w14:paraId="2BCE072B">
      <w:pPr>
        <w:pStyle w:val="19"/>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NY/T 1004</w:t>
      </w:r>
      <w:r>
        <w:rPr>
          <w:rFonts w:hint="eastAsia" w:ascii="仿宋_GB2312" w:eastAsia="仿宋_GB2312" w:cs="Times New Roman"/>
          <w:kern w:val="2"/>
          <w:sz w:val="32"/>
          <w:szCs w:val="24"/>
          <w:lang w:val="en-US" w:eastAsia="zh-CN" w:bidi="ar-SA"/>
        </w:rPr>
        <w:t xml:space="preserve">  </w:t>
      </w:r>
      <w:r>
        <w:rPr>
          <w:rFonts w:hint="eastAsia" w:ascii="仿宋_GB2312" w:hAnsi="Times New Roman" w:eastAsia="仿宋_GB2312" w:cs="Times New Roman"/>
          <w:kern w:val="2"/>
          <w:sz w:val="32"/>
          <w:szCs w:val="24"/>
          <w:lang w:val="en-US" w:eastAsia="zh-CN" w:bidi="ar-SA"/>
        </w:rPr>
        <w:t>秸秆粉碎还田机 质量评价技术规范</w:t>
      </w:r>
    </w:p>
    <w:p w14:paraId="184314EB">
      <w:pPr>
        <w:pStyle w:val="18"/>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NY/T 1418  深松机械  质量评价技术规范</w:t>
      </w:r>
    </w:p>
    <w:p w14:paraId="0629ECC1">
      <w:pPr>
        <w:pStyle w:val="18"/>
        <w:keepNext w:val="0"/>
        <w:keepLines w:val="0"/>
        <w:pageBreakBefore w:val="0"/>
        <w:widowControl/>
        <w:kinsoku/>
        <w:wordWrap/>
        <w:overflowPunct/>
        <w:topLinePunct w:val="0"/>
        <w:autoSpaceDE w:val="0"/>
        <w:autoSpaceDN w:val="0"/>
        <w:bidi w:val="0"/>
        <w:adjustRightInd/>
        <w:snapToGrid/>
        <w:ind w:left="0" w:leftChars="0" w:firstLine="640" w:firstLineChars="200"/>
        <w:textAlignment w:val="auto"/>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NY/T 3892  农机作业远程监测管理平台数据交换技术规范</w:t>
      </w:r>
    </w:p>
    <w:p w14:paraId="5DA36F32">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主要条款的说明，主要技术指标、参数、实验验证的论述</w:t>
      </w:r>
    </w:p>
    <w:p w14:paraId="718E37E6">
      <w:pPr>
        <w:ind w:firstLine="640" w:firstLineChars="200"/>
        <w:rPr>
          <w:rFonts w:ascii="仿宋_GB2312" w:eastAsia="仿宋_GB2312"/>
          <w:b w:val="0"/>
          <w:bCs w:val="0"/>
          <w:sz w:val="32"/>
        </w:rPr>
      </w:pPr>
      <w:bookmarkStart w:id="0" w:name="_Toc1225091148"/>
      <w:bookmarkStart w:id="1" w:name="_Toc146784253"/>
      <w:r>
        <w:rPr>
          <w:rFonts w:hint="eastAsia" w:ascii="仿宋_GB2312" w:eastAsia="仿宋_GB2312"/>
          <w:b w:val="0"/>
          <w:bCs w:val="0"/>
          <w:sz w:val="32"/>
        </w:rPr>
        <w:t>（一）土壤深松作业要求</w:t>
      </w:r>
      <w:bookmarkEnd w:id="0"/>
    </w:p>
    <w:p w14:paraId="407EBB74">
      <w:pPr>
        <w:ind w:firstLine="640" w:firstLineChars="200"/>
        <w:rPr>
          <w:rFonts w:ascii="仿宋_GB2312" w:eastAsia="仿宋_GB2312"/>
          <w:sz w:val="32"/>
        </w:rPr>
      </w:pPr>
      <w:r>
        <w:rPr>
          <w:rFonts w:hint="eastAsia" w:ascii="仿宋_GB2312" w:eastAsia="仿宋_GB2312"/>
          <w:sz w:val="32"/>
        </w:rPr>
        <w:t>根据北京土壤深松特点，</w:t>
      </w:r>
      <w:r>
        <w:rPr>
          <w:rFonts w:hint="eastAsia" w:ascii="仿宋_GB2312" w:eastAsia="仿宋_GB2312"/>
          <w:sz w:val="32"/>
          <w:lang w:val="en-US" w:eastAsia="zh-CN"/>
        </w:rPr>
        <w:t>适宜深松的地表应平坦、无障碍物，地表植被及覆盖物不大于2kg/</w:t>
      </w:r>
      <w:r>
        <w:rPr>
          <w:rFonts w:hint="eastAsia" w:ascii="方正仿宋_GBK" w:hAnsi="方正仿宋_GBK" w:eastAsia="方正仿宋_GBK" w:cs="方正仿宋_GBK"/>
          <w:sz w:val="32"/>
          <w:lang w:val="en-US" w:eastAsia="zh-CN"/>
        </w:rPr>
        <w:t>㎡</w:t>
      </w:r>
      <w:r>
        <w:rPr>
          <w:rFonts w:hint="eastAsia" w:ascii="仿宋_GB2312" w:eastAsia="仿宋_GB2312"/>
          <w:sz w:val="32"/>
          <w:lang w:val="en-US" w:eastAsia="zh-CN"/>
        </w:rPr>
        <w:t>（需要灭茬的除外），</w:t>
      </w:r>
      <w:r>
        <w:rPr>
          <w:rFonts w:hint="eastAsia" w:ascii="仿宋_GB2312" w:eastAsia="仿宋_GB2312"/>
          <w:sz w:val="32"/>
        </w:rPr>
        <w:t>土壤含水率设定在15%～22%，</w:t>
      </w:r>
      <w:r>
        <w:rPr>
          <w:rFonts w:hint="eastAsia" w:ascii="仿宋_GB2312" w:eastAsia="仿宋_GB2312"/>
          <w:sz w:val="32"/>
          <w:lang w:val="en-US" w:eastAsia="zh-CN"/>
        </w:rPr>
        <w:t>土壤坚实度不大于1.2MPa</w:t>
      </w:r>
      <w:r>
        <w:rPr>
          <w:rFonts w:hint="eastAsia" w:ascii="仿宋_GB2312" w:eastAsia="仿宋_GB2312"/>
          <w:sz w:val="32"/>
        </w:rPr>
        <w:t>。土壤湿度过大，会造成农机作业困难，土壤湿度过小，不利于扬尘抑制。根据土壤情况和农业农村部相关要求，一般2年～3年深松一次</w:t>
      </w:r>
      <w:r>
        <w:rPr>
          <w:rFonts w:hint="eastAsia" w:ascii="仿宋_GB2312" w:eastAsia="仿宋_GB2312"/>
          <w:sz w:val="32"/>
          <w:lang w:eastAsia="zh-CN"/>
        </w:rPr>
        <w:t>，</w:t>
      </w:r>
      <w:r>
        <w:rPr>
          <w:rFonts w:hint="eastAsia" w:ascii="仿宋_GB2312" w:eastAsia="仿宋_GB2312"/>
          <w:sz w:val="32"/>
        </w:rPr>
        <w:t>深松深度以能打破当地板结层（犁底层）为宜。根据试验测试现有深松机作业深度能达到30cm，农机补贴时土壤深松质量一般要求</w:t>
      </w:r>
      <w:r>
        <w:rPr>
          <w:rFonts w:hint="eastAsia" w:ascii="仿宋_GB2312" w:eastAsia="仿宋_GB2312"/>
          <w:sz w:val="32"/>
          <w:lang w:eastAsia="zh-CN"/>
        </w:rPr>
        <w:t>不低于</w:t>
      </w:r>
      <w:r>
        <w:rPr>
          <w:rFonts w:hint="eastAsia" w:ascii="仿宋_GB2312" w:eastAsia="仿宋_GB2312"/>
          <w:sz w:val="32"/>
        </w:rPr>
        <w:t>30cm。</w:t>
      </w:r>
    </w:p>
    <w:p w14:paraId="7823ACD8">
      <w:pPr>
        <w:ind w:firstLine="640" w:firstLineChars="200"/>
        <w:rPr>
          <w:rFonts w:ascii="仿宋_GB2312" w:eastAsia="仿宋_GB2312"/>
          <w:sz w:val="32"/>
        </w:rPr>
      </w:pPr>
      <w:bookmarkStart w:id="2" w:name="_Toc886111413"/>
      <w:r>
        <w:rPr>
          <w:rFonts w:hint="eastAsia" w:ascii="仿宋_GB2312" w:eastAsia="仿宋_GB2312"/>
          <w:sz w:val="32"/>
        </w:rPr>
        <w:t>2020年，在北京市房山、平谷、怀柔、密云、大兴、延庆6个区春季深松整地作业中应用深松作业远程监测技术，安装深松作业质量监测终端60台。同时对其作业深度误差进行测试，在耕深20cm、25cm和30cm时，作业深度误差均小于3cm。2018年陈兴和等人对20个型号的深松监测装备进行田间性能测试，作业深度有12</w:t>
      </w:r>
      <w:r>
        <w:rPr>
          <w:rFonts w:ascii="仿宋_GB2312" w:eastAsia="仿宋_GB2312"/>
          <w:sz w:val="32"/>
          <w:lang w:val="en"/>
        </w:rPr>
        <w:t>.6</w:t>
      </w:r>
      <w:r>
        <w:rPr>
          <w:rFonts w:hint="eastAsia" w:ascii="仿宋_GB2312" w:eastAsia="仿宋_GB2312"/>
          <w:sz w:val="32"/>
        </w:rPr>
        <w:t>%的产品误差值为0～1cm，有43.7%的产品误差值为1～2cm，有43.7</w:t>
      </w:r>
      <w:r>
        <w:rPr>
          <w:rFonts w:hint="default" w:ascii="仿宋_GB2312" w:eastAsia="仿宋_GB2312"/>
          <w:sz w:val="32"/>
          <w:lang w:val="en"/>
        </w:rPr>
        <w:t>%</w:t>
      </w:r>
      <w:r>
        <w:rPr>
          <w:rFonts w:hint="eastAsia" w:ascii="仿宋_GB2312" w:eastAsia="仿宋_GB2312"/>
          <w:sz w:val="32"/>
        </w:rPr>
        <w:t>的产品误差值为2～3cm；作业面积计量精度方面，93.8%的产品均</w:t>
      </w:r>
      <w:r>
        <w:rPr>
          <w:rFonts w:hint="eastAsia" w:ascii="仿宋_GB2312" w:eastAsia="仿宋_GB2312"/>
          <w:sz w:val="32"/>
          <w:lang w:eastAsia="zh-CN"/>
        </w:rPr>
        <w:t>大于</w:t>
      </w:r>
      <w:r>
        <w:rPr>
          <w:rFonts w:hint="eastAsia" w:ascii="仿宋_GB2312" w:eastAsia="仿宋_GB2312"/>
          <w:sz w:val="32"/>
        </w:rPr>
        <w:t>97%</w:t>
      </w:r>
      <w:r>
        <w:rPr>
          <w:rFonts w:hint="eastAsia" w:ascii="仿宋_GB2312" w:eastAsia="仿宋_GB2312"/>
          <w:sz w:val="32"/>
          <w:vertAlign w:val="superscript"/>
          <w:lang w:val="en"/>
        </w:rPr>
        <w:t>[1]</w:t>
      </w:r>
      <w:r>
        <w:rPr>
          <w:rFonts w:hint="eastAsia" w:ascii="仿宋_GB2312" w:eastAsia="仿宋_GB2312"/>
          <w:sz w:val="32"/>
        </w:rPr>
        <w:t>。通过查阅资料及调研北京市相关企业，确定智能农机终端技术</w:t>
      </w:r>
      <w:bookmarkEnd w:id="2"/>
      <w:r>
        <w:rPr>
          <w:rFonts w:hint="eastAsia" w:ascii="仿宋_GB2312" w:eastAsia="仿宋_GB2312"/>
          <w:sz w:val="32"/>
        </w:rPr>
        <w:t>在静态条件下，作业深度误差</w:t>
      </w:r>
      <w:r>
        <w:rPr>
          <w:rFonts w:hint="eastAsia" w:ascii="仿宋_GB2312" w:eastAsia="仿宋_GB2312"/>
          <w:sz w:val="32"/>
          <w:lang w:eastAsia="zh-CN"/>
        </w:rPr>
        <w:t>不高于</w:t>
      </w:r>
      <w:r>
        <w:rPr>
          <w:rFonts w:hint="eastAsia" w:ascii="仿宋_GB2312" w:eastAsia="仿宋_GB2312"/>
          <w:sz w:val="32"/>
        </w:rPr>
        <w:t>2cm；在田间作业环境下，作业深度误差</w:t>
      </w:r>
      <w:r>
        <w:rPr>
          <w:rFonts w:hint="eastAsia" w:ascii="仿宋_GB2312" w:eastAsia="仿宋_GB2312"/>
          <w:sz w:val="32"/>
          <w:lang w:eastAsia="zh-CN"/>
        </w:rPr>
        <w:t>不高于</w:t>
      </w:r>
      <w:r>
        <w:rPr>
          <w:rFonts w:hint="eastAsia" w:ascii="仿宋_GB2312" w:eastAsia="仿宋_GB2312"/>
          <w:sz w:val="32"/>
        </w:rPr>
        <w:t>3cm；作业深度合格率误差</w:t>
      </w:r>
      <w:r>
        <w:rPr>
          <w:rFonts w:hint="eastAsia" w:ascii="仿宋_GB2312" w:eastAsia="仿宋_GB2312"/>
          <w:sz w:val="32"/>
          <w:lang w:eastAsia="zh-CN"/>
        </w:rPr>
        <w:t>小于</w:t>
      </w:r>
      <w:r>
        <w:rPr>
          <w:rFonts w:hint="eastAsia" w:ascii="仿宋_GB2312" w:eastAsia="仿宋_GB2312"/>
          <w:sz w:val="32"/>
        </w:rPr>
        <w:t>5%；作业面积的计量精度应</w:t>
      </w:r>
      <w:r>
        <w:rPr>
          <w:rFonts w:hint="eastAsia" w:ascii="仿宋_GB2312" w:eastAsia="仿宋_GB2312"/>
          <w:sz w:val="32"/>
          <w:lang w:eastAsia="zh-CN"/>
        </w:rPr>
        <w:t>不低于</w:t>
      </w:r>
      <w:r>
        <w:rPr>
          <w:rFonts w:hint="eastAsia" w:ascii="仿宋_GB2312" w:eastAsia="仿宋_GB2312"/>
          <w:sz w:val="32"/>
        </w:rPr>
        <w:t>97%。此外，为保障对农机作业的监测效果，建议图像信息采集频率不得少于</w:t>
      </w:r>
      <w:r>
        <w:rPr>
          <w:rFonts w:hint="eastAsia" w:ascii="仿宋_GB2312" w:eastAsia="仿宋_GB2312"/>
          <w:sz w:val="32"/>
          <w:lang w:eastAsia="zh-CN"/>
        </w:rPr>
        <w:t>每小时</w:t>
      </w:r>
      <w:r>
        <w:rPr>
          <w:rFonts w:hint="eastAsia" w:ascii="仿宋_GB2312" w:eastAsia="仿宋_GB2312"/>
          <w:sz w:val="32"/>
          <w:lang w:val="en-US" w:eastAsia="zh-CN"/>
        </w:rPr>
        <w:t>2次</w:t>
      </w:r>
      <w:r>
        <w:rPr>
          <w:rFonts w:hint="eastAsia" w:ascii="仿宋_GB2312" w:eastAsia="仿宋_GB2312"/>
          <w:sz w:val="32"/>
        </w:rPr>
        <w:t>；作业深度数据采集时间间隔应不大于2s，或采样距离间隔不超过5m。</w:t>
      </w:r>
    </w:p>
    <w:tbl>
      <w:tblPr>
        <w:tblStyle w:val="11"/>
        <w:tblpPr w:leftFromText="180" w:rightFromText="180" w:vertAnchor="text" w:horzAnchor="page" w:tblpX="2522" w:tblpY="311"/>
        <w:tblOverlap w:val="never"/>
        <w:tblW w:w="7180" w:type="dxa"/>
        <w:tblInd w:w="0" w:type="dxa"/>
        <w:tblLayout w:type="autofit"/>
        <w:tblCellMar>
          <w:top w:w="0" w:type="dxa"/>
          <w:left w:w="108" w:type="dxa"/>
          <w:bottom w:w="0" w:type="dxa"/>
          <w:right w:w="108" w:type="dxa"/>
        </w:tblCellMar>
      </w:tblPr>
      <w:tblGrid>
        <w:gridCol w:w="1211"/>
        <w:gridCol w:w="1968"/>
        <w:gridCol w:w="1999"/>
        <w:gridCol w:w="2002"/>
      </w:tblGrid>
      <w:tr w14:paraId="6D3FA92F">
        <w:tblPrEx>
          <w:tblCellMar>
            <w:top w:w="0" w:type="dxa"/>
            <w:left w:w="108" w:type="dxa"/>
            <w:bottom w:w="0" w:type="dxa"/>
            <w:right w:w="108" w:type="dxa"/>
          </w:tblCellMar>
        </w:tblPrEx>
        <w:trPr>
          <w:trHeight w:val="287" w:hRule="atLeast"/>
        </w:trPr>
        <w:tc>
          <w:tcPr>
            <w:tcW w:w="7180" w:type="dxa"/>
            <w:gridSpan w:val="4"/>
            <w:tcBorders>
              <w:top w:val="nil"/>
              <w:left w:val="nil"/>
              <w:bottom w:val="nil"/>
              <w:right w:val="nil"/>
            </w:tcBorders>
            <w:shd w:val="clear" w:color="auto" w:fill="auto"/>
            <w:noWrap/>
            <w:vAlign w:val="center"/>
          </w:tcPr>
          <w:p w14:paraId="7029B011">
            <w:pPr>
              <w:ind w:firstLine="420" w:firstLineChars="200"/>
              <w:jc w:val="center"/>
              <w:rPr>
                <w:rFonts w:ascii="仿宋_GB2312" w:eastAsia="仿宋_GB2312"/>
                <w:szCs w:val="21"/>
              </w:rPr>
            </w:pPr>
            <w:r>
              <w:rPr>
                <w:rFonts w:hint="eastAsia" w:ascii="仿宋_GB2312" w:eastAsia="仿宋_GB2312"/>
                <w:szCs w:val="21"/>
              </w:rPr>
              <w:t>表1 作业深度</w:t>
            </w:r>
          </w:p>
        </w:tc>
      </w:tr>
      <w:tr w14:paraId="431CEA4F">
        <w:tblPrEx>
          <w:tblCellMar>
            <w:top w:w="0" w:type="dxa"/>
            <w:left w:w="108" w:type="dxa"/>
            <w:bottom w:w="0" w:type="dxa"/>
            <w:right w:w="108" w:type="dxa"/>
          </w:tblCellMar>
        </w:tblPrEx>
        <w:trPr>
          <w:trHeight w:val="371" w:hRule="atLeast"/>
        </w:trPr>
        <w:tc>
          <w:tcPr>
            <w:tcW w:w="12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FC08">
            <w:pPr>
              <w:rPr>
                <w:rFonts w:ascii="仿宋_GB2312" w:eastAsia="仿宋_GB2312"/>
                <w:szCs w:val="21"/>
              </w:rPr>
            </w:pPr>
            <w:r>
              <w:rPr>
                <w:rFonts w:hint="eastAsia" w:ascii="仿宋_GB2312" w:eastAsia="仿宋_GB2312"/>
                <w:szCs w:val="21"/>
              </w:rPr>
              <w:t>深度范围/cm</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17600">
            <w:pPr>
              <w:ind w:firstLine="420" w:firstLineChars="200"/>
              <w:rPr>
                <w:rFonts w:ascii="仿宋_GB2312" w:eastAsia="仿宋_GB2312"/>
                <w:szCs w:val="21"/>
              </w:rPr>
            </w:pPr>
            <w:r>
              <w:rPr>
                <w:rFonts w:hint="eastAsia" w:ascii="仿宋_GB2312" w:eastAsia="仿宋_GB2312"/>
                <w:szCs w:val="21"/>
              </w:rPr>
              <w:t>监测深度/cm</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5469F">
            <w:pPr>
              <w:ind w:firstLine="420" w:firstLineChars="200"/>
              <w:rPr>
                <w:rFonts w:ascii="仿宋_GB2312" w:eastAsia="仿宋_GB2312"/>
                <w:szCs w:val="21"/>
              </w:rPr>
            </w:pPr>
            <w:r>
              <w:rPr>
                <w:rFonts w:hint="eastAsia" w:ascii="仿宋_GB2312" w:eastAsia="仿宋_GB2312"/>
                <w:szCs w:val="21"/>
              </w:rPr>
              <w:t>实际深度/cm</w:t>
            </w:r>
          </w:p>
        </w:tc>
        <w:tc>
          <w:tcPr>
            <w:tcW w:w="20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5C5A">
            <w:pPr>
              <w:ind w:firstLine="420" w:firstLineChars="200"/>
              <w:rPr>
                <w:rFonts w:ascii="仿宋_GB2312" w:eastAsia="仿宋_GB2312"/>
                <w:szCs w:val="21"/>
              </w:rPr>
            </w:pPr>
            <w:r>
              <w:rPr>
                <w:rFonts w:hint="eastAsia" w:ascii="仿宋_GB2312" w:eastAsia="仿宋_GB2312"/>
                <w:szCs w:val="21"/>
              </w:rPr>
              <w:t>误差百分比/%</w:t>
            </w:r>
          </w:p>
        </w:tc>
      </w:tr>
      <w:tr w14:paraId="2F68CC30">
        <w:tblPrEx>
          <w:tblCellMar>
            <w:top w:w="0" w:type="dxa"/>
            <w:left w:w="108" w:type="dxa"/>
            <w:bottom w:w="0" w:type="dxa"/>
            <w:right w:w="108" w:type="dxa"/>
          </w:tblCellMar>
        </w:tblPrEx>
        <w:trPr>
          <w:trHeight w:val="2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7D51">
            <w:pPr>
              <w:ind w:firstLine="420" w:firstLineChars="200"/>
              <w:jc w:val="center"/>
              <w:rPr>
                <w:rFonts w:ascii="仿宋_GB2312" w:eastAsia="仿宋_GB2312"/>
                <w:szCs w:val="21"/>
              </w:rPr>
            </w:pPr>
            <w:r>
              <w:rPr>
                <w:rFonts w:hint="eastAsia" w:ascii="仿宋_GB2312" w:eastAsia="仿宋_GB2312"/>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95BF">
            <w:pPr>
              <w:widowControl/>
              <w:jc w:val="center"/>
              <w:textAlignment w:val="center"/>
              <w:rPr>
                <w:rFonts w:hint="eastAsia" w:ascii="仿宋_GB2312" w:eastAsia="仿宋_GB2312"/>
                <w:szCs w:val="21"/>
              </w:rPr>
            </w:pPr>
            <w:r>
              <w:rPr>
                <w:rFonts w:hint="eastAsia" w:ascii="仿宋_GB2312" w:eastAsia="仿宋_GB2312"/>
                <w:szCs w:val="21"/>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FFA2">
            <w:pPr>
              <w:widowControl/>
              <w:jc w:val="center"/>
              <w:textAlignment w:val="center"/>
              <w:rPr>
                <w:rFonts w:hint="eastAsia" w:ascii="仿宋_GB2312" w:eastAsia="仿宋_GB2312"/>
                <w:szCs w:val="21"/>
              </w:rPr>
            </w:pPr>
            <w:r>
              <w:rPr>
                <w:rFonts w:hint="eastAsia" w:ascii="仿宋_GB2312" w:eastAsia="仿宋_GB2312"/>
                <w:szCs w:val="21"/>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6BD0">
            <w:pPr>
              <w:widowControl/>
              <w:jc w:val="center"/>
              <w:textAlignment w:val="center"/>
              <w:rPr>
                <w:rFonts w:hint="eastAsia" w:ascii="仿宋_GB2312" w:eastAsia="仿宋_GB2312"/>
                <w:szCs w:val="21"/>
              </w:rPr>
            </w:pPr>
            <w:r>
              <w:rPr>
                <w:rFonts w:hint="eastAsia" w:ascii="仿宋_GB2312" w:eastAsia="仿宋_GB2312"/>
                <w:szCs w:val="21"/>
              </w:rPr>
              <w:t>0.20</w:t>
            </w:r>
          </w:p>
        </w:tc>
      </w:tr>
      <w:tr w14:paraId="71C3045B">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9870">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4ACE">
            <w:pPr>
              <w:widowControl/>
              <w:jc w:val="center"/>
              <w:textAlignment w:val="center"/>
              <w:rPr>
                <w:rFonts w:ascii="仿宋_GB2312" w:eastAsia="仿宋_GB2312"/>
                <w:szCs w:val="21"/>
              </w:rPr>
            </w:pPr>
            <w:r>
              <w:rPr>
                <w:rFonts w:hint="eastAsia" w:ascii="仿宋_GB2312" w:eastAsia="仿宋_GB2312"/>
                <w:szCs w:val="21"/>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B6F4">
            <w:pPr>
              <w:widowControl/>
              <w:jc w:val="center"/>
              <w:textAlignment w:val="center"/>
              <w:rPr>
                <w:rFonts w:ascii="仿宋_GB2312" w:eastAsia="仿宋_GB2312"/>
                <w:szCs w:val="21"/>
              </w:rPr>
            </w:pPr>
            <w:r>
              <w:rPr>
                <w:rFonts w:hint="eastAsia" w:ascii="仿宋_GB2312" w:eastAsia="仿宋_GB2312"/>
                <w:szCs w:val="21"/>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5E32">
            <w:pPr>
              <w:widowControl/>
              <w:jc w:val="center"/>
              <w:textAlignment w:val="center"/>
              <w:rPr>
                <w:rFonts w:ascii="仿宋_GB2312" w:eastAsia="仿宋_GB2312"/>
                <w:szCs w:val="21"/>
              </w:rPr>
            </w:pPr>
            <w:r>
              <w:rPr>
                <w:rFonts w:hint="eastAsia" w:ascii="仿宋_GB2312" w:eastAsia="仿宋_GB2312"/>
                <w:szCs w:val="21"/>
              </w:rPr>
              <w:t>0.40</w:t>
            </w:r>
          </w:p>
        </w:tc>
      </w:tr>
      <w:tr w14:paraId="381E748B">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BC0">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0FF6">
            <w:pPr>
              <w:widowControl/>
              <w:jc w:val="center"/>
              <w:textAlignment w:val="center"/>
              <w:rPr>
                <w:rFonts w:ascii="仿宋_GB2312" w:eastAsia="仿宋_GB2312"/>
                <w:szCs w:val="21"/>
              </w:rPr>
            </w:pPr>
            <w:r>
              <w:rPr>
                <w:rFonts w:hint="eastAsia" w:ascii="仿宋_GB2312" w:eastAsia="仿宋_GB2312"/>
                <w:szCs w:val="21"/>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D57A">
            <w:pPr>
              <w:widowControl/>
              <w:jc w:val="center"/>
              <w:textAlignment w:val="center"/>
              <w:rPr>
                <w:rFonts w:ascii="仿宋_GB2312" w:eastAsia="仿宋_GB2312"/>
                <w:szCs w:val="21"/>
              </w:rPr>
            </w:pPr>
            <w:r>
              <w:rPr>
                <w:rFonts w:hint="eastAsia" w:ascii="仿宋_GB2312" w:eastAsia="仿宋_GB2312"/>
                <w:szCs w:val="21"/>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1240">
            <w:pPr>
              <w:widowControl/>
              <w:jc w:val="center"/>
              <w:textAlignment w:val="center"/>
              <w:rPr>
                <w:rFonts w:ascii="仿宋_GB2312" w:eastAsia="仿宋_GB2312"/>
                <w:szCs w:val="21"/>
              </w:rPr>
            </w:pPr>
            <w:r>
              <w:rPr>
                <w:rFonts w:hint="eastAsia" w:ascii="仿宋_GB2312" w:eastAsia="仿宋_GB2312"/>
                <w:szCs w:val="21"/>
              </w:rPr>
              <w:t>0.40</w:t>
            </w:r>
          </w:p>
        </w:tc>
      </w:tr>
      <w:tr w14:paraId="523E89B8">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67A">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4260">
            <w:pPr>
              <w:widowControl/>
              <w:jc w:val="center"/>
              <w:textAlignment w:val="center"/>
              <w:rPr>
                <w:rFonts w:ascii="仿宋_GB2312" w:eastAsia="仿宋_GB2312"/>
                <w:szCs w:val="21"/>
              </w:rPr>
            </w:pPr>
            <w:r>
              <w:rPr>
                <w:rFonts w:hint="eastAsia" w:ascii="仿宋_GB2312" w:eastAsia="仿宋_GB2312"/>
                <w:szCs w:val="21"/>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B76C">
            <w:pPr>
              <w:widowControl/>
              <w:jc w:val="center"/>
              <w:textAlignment w:val="center"/>
              <w:rPr>
                <w:rFonts w:ascii="仿宋_GB2312" w:eastAsia="仿宋_GB2312"/>
                <w:szCs w:val="21"/>
              </w:rPr>
            </w:pPr>
            <w:r>
              <w:rPr>
                <w:rFonts w:hint="eastAsia" w:ascii="仿宋_GB2312" w:eastAsia="仿宋_GB2312"/>
                <w:szCs w:val="21"/>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F426">
            <w:pPr>
              <w:widowControl/>
              <w:jc w:val="center"/>
              <w:textAlignment w:val="center"/>
              <w:rPr>
                <w:rFonts w:ascii="仿宋_GB2312" w:eastAsia="仿宋_GB2312"/>
                <w:szCs w:val="21"/>
              </w:rPr>
            </w:pPr>
            <w:r>
              <w:rPr>
                <w:rFonts w:hint="eastAsia" w:ascii="仿宋_GB2312" w:eastAsia="仿宋_GB2312"/>
                <w:szCs w:val="21"/>
              </w:rPr>
              <w:t>0.60</w:t>
            </w:r>
          </w:p>
        </w:tc>
      </w:tr>
      <w:tr w14:paraId="7DB3190B">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8032">
            <w:pPr>
              <w:jc w:val="center"/>
              <w:rPr>
                <w:rFonts w:ascii="仿宋_GB2312" w:eastAsia="仿宋_GB2312"/>
                <w:szCs w:val="21"/>
              </w:rPr>
            </w:pPr>
          </w:p>
        </w:tc>
        <w:tc>
          <w:tcPr>
            <w:tcW w:w="0" w:type="auto"/>
            <w:tcBorders>
              <w:top w:val="nil"/>
              <w:left w:val="nil"/>
              <w:bottom w:val="nil"/>
              <w:right w:val="nil"/>
            </w:tcBorders>
            <w:shd w:val="clear" w:color="auto" w:fill="auto"/>
            <w:noWrap/>
            <w:vAlign w:val="center"/>
          </w:tcPr>
          <w:p w14:paraId="0AD77154">
            <w:pPr>
              <w:widowControl/>
              <w:jc w:val="center"/>
              <w:textAlignment w:val="center"/>
              <w:rPr>
                <w:rFonts w:ascii="仿宋_GB2312" w:eastAsia="仿宋_GB2312"/>
                <w:szCs w:val="21"/>
              </w:rPr>
            </w:pPr>
            <w:r>
              <w:rPr>
                <w:rFonts w:hint="eastAsia" w:ascii="仿宋_GB2312" w:eastAsia="仿宋_GB2312"/>
                <w:szCs w:val="21"/>
              </w:rPr>
              <w:t>20.3</w:t>
            </w:r>
          </w:p>
        </w:tc>
        <w:tc>
          <w:tcPr>
            <w:tcW w:w="0" w:type="auto"/>
            <w:tcBorders>
              <w:top w:val="nil"/>
              <w:left w:val="nil"/>
              <w:bottom w:val="nil"/>
              <w:right w:val="nil"/>
            </w:tcBorders>
            <w:shd w:val="clear" w:color="auto" w:fill="auto"/>
            <w:noWrap/>
            <w:vAlign w:val="center"/>
          </w:tcPr>
          <w:p w14:paraId="1FF78A76">
            <w:pPr>
              <w:widowControl/>
              <w:jc w:val="center"/>
              <w:textAlignment w:val="center"/>
              <w:rPr>
                <w:rFonts w:ascii="仿宋_GB2312" w:eastAsia="仿宋_GB2312"/>
                <w:szCs w:val="21"/>
              </w:rPr>
            </w:pPr>
            <w:r>
              <w:rPr>
                <w:rFonts w:hint="eastAsia" w:ascii="仿宋_GB2312" w:eastAsia="仿宋_GB2312"/>
                <w:szCs w:val="21"/>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FE3B">
            <w:pPr>
              <w:widowControl/>
              <w:jc w:val="center"/>
              <w:textAlignment w:val="center"/>
              <w:rPr>
                <w:rFonts w:ascii="仿宋_GB2312" w:eastAsia="仿宋_GB2312"/>
                <w:szCs w:val="21"/>
              </w:rPr>
            </w:pPr>
            <w:r>
              <w:rPr>
                <w:rFonts w:hint="eastAsia" w:ascii="仿宋_GB2312" w:eastAsia="仿宋_GB2312"/>
                <w:szCs w:val="21"/>
              </w:rPr>
              <w:t>0.90</w:t>
            </w:r>
          </w:p>
        </w:tc>
      </w:tr>
      <w:tr w14:paraId="68477556">
        <w:tblPrEx>
          <w:tblCellMar>
            <w:top w:w="0" w:type="dxa"/>
            <w:left w:w="108" w:type="dxa"/>
            <w:bottom w:w="0" w:type="dxa"/>
            <w:right w:w="108" w:type="dxa"/>
          </w:tblCellMar>
        </w:tblPrEx>
        <w:trPr>
          <w:trHeight w:val="2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481B">
            <w:pPr>
              <w:ind w:firstLine="420" w:firstLineChars="200"/>
              <w:jc w:val="center"/>
              <w:rPr>
                <w:rFonts w:ascii="仿宋_GB2312" w:eastAsia="仿宋_GB2312"/>
                <w:szCs w:val="21"/>
              </w:rPr>
            </w:pPr>
            <w:r>
              <w:rPr>
                <w:rFonts w:hint="eastAsia" w:ascii="仿宋_GB2312" w:eastAsia="仿宋_GB2312"/>
                <w:szCs w:val="21"/>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CFE0">
            <w:pPr>
              <w:widowControl/>
              <w:jc w:val="center"/>
              <w:textAlignment w:val="center"/>
              <w:rPr>
                <w:rFonts w:hint="eastAsia" w:ascii="仿宋_GB2312" w:eastAsia="仿宋_GB2312"/>
                <w:szCs w:val="21"/>
              </w:rPr>
            </w:pPr>
            <w:r>
              <w:rPr>
                <w:rFonts w:hint="eastAsia" w:ascii="仿宋_GB2312" w:eastAsia="仿宋_GB2312"/>
                <w:szCs w:val="21"/>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4C08">
            <w:pPr>
              <w:widowControl/>
              <w:jc w:val="center"/>
              <w:textAlignment w:val="center"/>
              <w:rPr>
                <w:rFonts w:hint="eastAsia" w:ascii="仿宋_GB2312" w:eastAsia="仿宋_GB2312"/>
                <w:szCs w:val="21"/>
              </w:rPr>
            </w:pPr>
            <w:r>
              <w:rPr>
                <w:rFonts w:hint="eastAsia" w:ascii="仿宋_GB2312" w:eastAsia="仿宋_GB2312"/>
                <w:szCs w:val="21"/>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50BA">
            <w:pPr>
              <w:widowControl/>
              <w:jc w:val="center"/>
              <w:textAlignment w:val="center"/>
              <w:rPr>
                <w:rFonts w:hint="eastAsia" w:ascii="仿宋_GB2312" w:eastAsia="仿宋_GB2312"/>
                <w:szCs w:val="21"/>
              </w:rPr>
            </w:pPr>
            <w:r>
              <w:rPr>
                <w:rFonts w:hint="eastAsia" w:ascii="仿宋_GB2312" w:eastAsia="仿宋_GB2312"/>
                <w:szCs w:val="21"/>
              </w:rPr>
              <w:t>0.40</w:t>
            </w:r>
          </w:p>
        </w:tc>
      </w:tr>
      <w:tr w14:paraId="30A2F600">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868F">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82E9">
            <w:pPr>
              <w:widowControl/>
              <w:jc w:val="center"/>
              <w:textAlignment w:val="center"/>
              <w:rPr>
                <w:rFonts w:ascii="仿宋_GB2312" w:eastAsia="仿宋_GB2312"/>
                <w:szCs w:val="21"/>
              </w:rPr>
            </w:pPr>
            <w:r>
              <w:rPr>
                <w:rFonts w:hint="eastAsia" w:ascii="仿宋_GB2312" w:eastAsia="仿宋_GB2312"/>
                <w:szCs w:val="21"/>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ACCE">
            <w:pPr>
              <w:widowControl/>
              <w:jc w:val="center"/>
              <w:textAlignment w:val="center"/>
              <w:rPr>
                <w:rFonts w:ascii="仿宋_GB2312" w:eastAsia="仿宋_GB2312"/>
                <w:szCs w:val="21"/>
              </w:rPr>
            </w:pPr>
            <w:r>
              <w:rPr>
                <w:rFonts w:hint="eastAsia" w:ascii="仿宋_GB2312" w:eastAsia="仿宋_GB2312"/>
                <w:szCs w:val="21"/>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937B">
            <w:pPr>
              <w:widowControl/>
              <w:jc w:val="center"/>
              <w:textAlignment w:val="center"/>
              <w:rPr>
                <w:rFonts w:ascii="仿宋_GB2312" w:eastAsia="仿宋_GB2312"/>
                <w:szCs w:val="21"/>
              </w:rPr>
            </w:pPr>
            <w:r>
              <w:rPr>
                <w:rFonts w:hint="eastAsia" w:ascii="仿宋_GB2312" w:eastAsia="仿宋_GB2312"/>
                <w:szCs w:val="21"/>
              </w:rPr>
              <w:t>0.70</w:t>
            </w:r>
          </w:p>
        </w:tc>
      </w:tr>
      <w:tr w14:paraId="551D6B93">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E871">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5230B">
            <w:pPr>
              <w:widowControl/>
              <w:jc w:val="center"/>
              <w:textAlignment w:val="center"/>
              <w:rPr>
                <w:rFonts w:ascii="仿宋_GB2312" w:eastAsia="仿宋_GB2312"/>
                <w:szCs w:val="21"/>
              </w:rPr>
            </w:pPr>
            <w:r>
              <w:rPr>
                <w:rFonts w:hint="eastAsia" w:ascii="仿宋_GB2312" w:eastAsia="仿宋_GB2312"/>
                <w:szCs w:val="21"/>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1EA0">
            <w:pPr>
              <w:widowControl/>
              <w:jc w:val="center"/>
              <w:textAlignment w:val="center"/>
              <w:rPr>
                <w:rFonts w:ascii="仿宋_GB2312" w:eastAsia="仿宋_GB2312"/>
                <w:szCs w:val="21"/>
              </w:rPr>
            </w:pPr>
            <w:r>
              <w:rPr>
                <w:rFonts w:hint="eastAsia" w:ascii="仿宋_GB2312" w:eastAsia="仿宋_GB2312"/>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DC82">
            <w:pPr>
              <w:widowControl/>
              <w:jc w:val="center"/>
              <w:textAlignment w:val="center"/>
              <w:rPr>
                <w:rFonts w:ascii="仿宋_GB2312" w:eastAsia="仿宋_GB2312"/>
                <w:szCs w:val="21"/>
              </w:rPr>
            </w:pPr>
            <w:r>
              <w:rPr>
                <w:rFonts w:hint="eastAsia" w:ascii="仿宋_GB2312" w:eastAsia="仿宋_GB2312"/>
                <w:szCs w:val="21"/>
              </w:rPr>
              <w:t>0.90</w:t>
            </w:r>
          </w:p>
        </w:tc>
      </w:tr>
      <w:tr w14:paraId="28134EC8">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AA0D">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F1D9">
            <w:pPr>
              <w:widowControl/>
              <w:jc w:val="center"/>
              <w:textAlignment w:val="center"/>
              <w:rPr>
                <w:rFonts w:ascii="仿宋_GB2312" w:eastAsia="仿宋_GB2312"/>
                <w:szCs w:val="21"/>
              </w:rPr>
            </w:pPr>
            <w:r>
              <w:rPr>
                <w:rFonts w:hint="eastAsia" w:ascii="仿宋_GB2312" w:eastAsia="仿宋_GB2312"/>
                <w:szCs w:val="21"/>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8460">
            <w:pPr>
              <w:widowControl/>
              <w:jc w:val="center"/>
              <w:textAlignment w:val="center"/>
              <w:rPr>
                <w:rFonts w:ascii="仿宋_GB2312" w:eastAsia="仿宋_GB2312"/>
                <w:szCs w:val="21"/>
              </w:rPr>
            </w:pPr>
            <w:r>
              <w:rPr>
                <w:rFonts w:hint="eastAsia" w:ascii="仿宋_GB2312" w:eastAsia="仿宋_GB2312"/>
                <w:szCs w:val="21"/>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70B8">
            <w:pPr>
              <w:widowControl/>
              <w:jc w:val="center"/>
              <w:textAlignment w:val="center"/>
              <w:rPr>
                <w:rFonts w:ascii="仿宋_GB2312" w:eastAsia="仿宋_GB2312"/>
                <w:szCs w:val="21"/>
              </w:rPr>
            </w:pPr>
            <w:r>
              <w:rPr>
                <w:rFonts w:hint="eastAsia" w:ascii="仿宋_GB2312" w:eastAsia="仿宋_GB2312"/>
                <w:szCs w:val="21"/>
              </w:rPr>
              <w:t>0.60</w:t>
            </w:r>
          </w:p>
        </w:tc>
      </w:tr>
      <w:tr w14:paraId="3B862929">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A34C">
            <w:pPr>
              <w:jc w:val="center"/>
              <w:rPr>
                <w:rFonts w:ascii="仿宋_GB2312" w:eastAsia="仿宋_GB2312"/>
                <w:szCs w:val="21"/>
              </w:rPr>
            </w:pPr>
          </w:p>
        </w:tc>
        <w:tc>
          <w:tcPr>
            <w:tcW w:w="0" w:type="auto"/>
            <w:tcBorders>
              <w:top w:val="nil"/>
              <w:left w:val="nil"/>
              <w:bottom w:val="nil"/>
              <w:right w:val="nil"/>
            </w:tcBorders>
            <w:shd w:val="clear" w:color="auto" w:fill="auto"/>
            <w:noWrap/>
            <w:vAlign w:val="center"/>
          </w:tcPr>
          <w:p w14:paraId="104EE5A3">
            <w:pPr>
              <w:widowControl/>
              <w:jc w:val="center"/>
              <w:textAlignment w:val="center"/>
              <w:rPr>
                <w:rFonts w:ascii="仿宋_GB2312" w:eastAsia="仿宋_GB2312"/>
                <w:szCs w:val="21"/>
              </w:rPr>
            </w:pPr>
            <w:r>
              <w:rPr>
                <w:rFonts w:hint="eastAsia" w:ascii="仿宋_GB2312" w:eastAsia="仿宋_GB2312"/>
                <w:szCs w:val="21"/>
              </w:rPr>
              <w:t>24.9</w:t>
            </w:r>
          </w:p>
        </w:tc>
        <w:tc>
          <w:tcPr>
            <w:tcW w:w="0" w:type="auto"/>
            <w:tcBorders>
              <w:top w:val="nil"/>
              <w:left w:val="nil"/>
              <w:bottom w:val="nil"/>
              <w:right w:val="nil"/>
            </w:tcBorders>
            <w:shd w:val="clear" w:color="auto" w:fill="auto"/>
            <w:noWrap/>
            <w:vAlign w:val="center"/>
          </w:tcPr>
          <w:p w14:paraId="6DA74A8A">
            <w:pPr>
              <w:widowControl/>
              <w:jc w:val="center"/>
              <w:textAlignment w:val="center"/>
              <w:rPr>
                <w:rFonts w:ascii="仿宋_GB2312" w:eastAsia="仿宋_GB2312"/>
                <w:szCs w:val="21"/>
              </w:rPr>
            </w:pPr>
            <w:r>
              <w:rPr>
                <w:rFonts w:hint="eastAsia" w:ascii="仿宋_GB2312" w:eastAsia="仿宋_GB2312"/>
                <w:szCs w:val="21"/>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804F">
            <w:pPr>
              <w:widowControl/>
              <w:jc w:val="center"/>
              <w:textAlignment w:val="center"/>
              <w:rPr>
                <w:rFonts w:ascii="仿宋_GB2312" w:eastAsia="仿宋_GB2312"/>
                <w:szCs w:val="21"/>
              </w:rPr>
            </w:pPr>
            <w:r>
              <w:rPr>
                <w:rFonts w:hint="eastAsia" w:ascii="仿宋_GB2312" w:eastAsia="仿宋_GB2312"/>
                <w:szCs w:val="21"/>
              </w:rPr>
              <w:t>0.90</w:t>
            </w:r>
          </w:p>
        </w:tc>
      </w:tr>
      <w:tr w14:paraId="5EE13230">
        <w:tblPrEx>
          <w:tblCellMar>
            <w:top w:w="0" w:type="dxa"/>
            <w:left w:w="108" w:type="dxa"/>
            <w:bottom w:w="0" w:type="dxa"/>
            <w:right w:w="108" w:type="dxa"/>
          </w:tblCellMar>
        </w:tblPrEx>
        <w:trPr>
          <w:trHeight w:val="29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F8F">
            <w:pPr>
              <w:ind w:firstLine="420" w:firstLineChars="200"/>
              <w:jc w:val="center"/>
              <w:rPr>
                <w:rFonts w:ascii="仿宋_GB2312" w:eastAsia="仿宋_GB2312"/>
                <w:szCs w:val="21"/>
              </w:rPr>
            </w:pPr>
            <w:r>
              <w:rPr>
                <w:rFonts w:hint="eastAsia" w:ascii="仿宋_GB2312" w:eastAsia="仿宋_GB2312"/>
                <w:szCs w:val="21"/>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FB62">
            <w:pPr>
              <w:widowControl/>
              <w:jc w:val="center"/>
              <w:textAlignment w:val="center"/>
              <w:rPr>
                <w:rFonts w:hint="eastAsia" w:ascii="仿宋_GB2312" w:eastAsia="仿宋_GB2312"/>
                <w:szCs w:val="21"/>
              </w:rPr>
            </w:pPr>
            <w:r>
              <w:rPr>
                <w:rFonts w:hint="eastAsia" w:ascii="仿宋_GB2312" w:eastAsia="仿宋_GB2312"/>
                <w:szCs w:val="21"/>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0F5C">
            <w:pPr>
              <w:widowControl/>
              <w:jc w:val="center"/>
              <w:textAlignment w:val="center"/>
              <w:rPr>
                <w:rFonts w:hint="eastAsia" w:ascii="仿宋_GB2312" w:eastAsia="仿宋_GB2312"/>
                <w:szCs w:val="21"/>
              </w:rPr>
            </w:pPr>
            <w:r>
              <w:rPr>
                <w:rFonts w:hint="eastAsia" w:ascii="仿宋_GB2312" w:eastAsia="仿宋_GB2312"/>
                <w:szCs w:val="21"/>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B941">
            <w:pPr>
              <w:widowControl/>
              <w:jc w:val="center"/>
              <w:textAlignment w:val="center"/>
              <w:rPr>
                <w:rFonts w:hint="eastAsia" w:ascii="仿宋_GB2312" w:eastAsia="仿宋_GB2312"/>
                <w:szCs w:val="21"/>
              </w:rPr>
            </w:pPr>
            <w:r>
              <w:rPr>
                <w:rFonts w:hint="eastAsia" w:ascii="仿宋_GB2312" w:eastAsia="仿宋_GB2312"/>
                <w:szCs w:val="21"/>
              </w:rPr>
              <w:t>0.20</w:t>
            </w:r>
          </w:p>
        </w:tc>
      </w:tr>
      <w:tr w14:paraId="46C9CF10">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24F1">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A934">
            <w:pPr>
              <w:widowControl/>
              <w:jc w:val="center"/>
              <w:textAlignment w:val="center"/>
              <w:rPr>
                <w:rFonts w:ascii="仿宋_GB2312" w:eastAsia="仿宋_GB2312"/>
                <w:szCs w:val="21"/>
              </w:rPr>
            </w:pPr>
            <w:r>
              <w:rPr>
                <w:rFonts w:hint="eastAsia" w:ascii="仿宋_GB2312" w:eastAsia="仿宋_GB2312"/>
                <w:szCs w:val="21"/>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46CB">
            <w:pPr>
              <w:widowControl/>
              <w:jc w:val="center"/>
              <w:textAlignment w:val="center"/>
              <w:rPr>
                <w:rFonts w:ascii="仿宋_GB2312" w:eastAsia="仿宋_GB2312"/>
                <w:szCs w:val="21"/>
              </w:rPr>
            </w:pPr>
            <w:r>
              <w:rPr>
                <w:rFonts w:hint="eastAsia" w:ascii="仿宋_GB2312" w:eastAsia="仿宋_GB2312"/>
                <w:szCs w:val="21"/>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152D">
            <w:pPr>
              <w:widowControl/>
              <w:jc w:val="center"/>
              <w:textAlignment w:val="center"/>
              <w:rPr>
                <w:rFonts w:ascii="仿宋_GB2312" w:eastAsia="仿宋_GB2312"/>
                <w:szCs w:val="21"/>
              </w:rPr>
            </w:pPr>
            <w:r>
              <w:rPr>
                <w:rFonts w:hint="eastAsia" w:ascii="仿宋_GB2312" w:eastAsia="仿宋_GB2312"/>
                <w:szCs w:val="21"/>
              </w:rPr>
              <w:t>0.40</w:t>
            </w:r>
          </w:p>
        </w:tc>
      </w:tr>
      <w:tr w14:paraId="132BE50B">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1206">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6F63">
            <w:pPr>
              <w:widowControl/>
              <w:jc w:val="center"/>
              <w:textAlignment w:val="center"/>
              <w:rPr>
                <w:rFonts w:ascii="仿宋_GB2312" w:eastAsia="仿宋_GB2312"/>
                <w:szCs w:val="21"/>
              </w:rPr>
            </w:pPr>
            <w:r>
              <w:rPr>
                <w:rFonts w:hint="eastAsia" w:ascii="仿宋_GB2312" w:eastAsia="仿宋_GB2312"/>
                <w:szCs w:val="21"/>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87E7">
            <w:pPr>
              <w:widowControl/>
              <w:jc w:val="center"/>
              <w:textAlignment w:val="center"/>
              <w:rPr>
                <w:rFonts w:ascii="仿宋_GB2312" w:eastAsia="仿宋_GB2312"/>
                <w:szCs w:val="21"/>
              </w:rPr>
            </w:pPr>
            <w:r>
              <w:rPr>
                <w:rFonts w:hint="eastAsia" w:ascii="仿宋_GB2312" w:eastAsia="仿宋_GB2312"/>
                <w:szCs w:val="21"/>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D67C">
            <w:pPr>
              <w:widowControl/>
              <w:jc w:val="center"/>
              <w:textAlignment w:val="center"/>
              <w:rPr>
                <w:rFonts w:ascii="仿宋_GB2312" w:eastAsia="仿宋_GB2312"/>
                <w:szCs w:val="21"/>
              </w:rPr>
            </w:pPr>
            <w:r>
              <w:rPr>
                <w:rFonts w:hint="eastAsia" w:ascii="仿宋_GB2312" w:eastAsia="仿宋_GB2312"/>
                <w:szCs w:val="21"/>
              </w:rPr>
              <w:t>0.30</w:t>
            </w:r>
          </w:p>
        </w:tc>
      </w:tr>
      <w:tr w14:paraId="234C1712">
        <w:tblPrEx>
          <w:tblCellMar>
            <w:top w:w="0" w:type="dxa"/>
            <w:left w:w="108" w:type="dxa"/>
            <w:bottom w:w="0" w:type="dxa"/>
            <w:right w:w="108" w:type="dxa"/>
          </w:tblCellMar>
        </w:tblPrEx>
        <w:trPr>
          <w:trHeight w:val="2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8352">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CD1D">
            <w:pPr>
              <w:widowControl/>
              <w:jc w:val="center"/>
              <w:textAlignment w:val="center"/>
              <w:rPr>
                <w:rFonts w:ascii="仿宋_GB2312" w:eastAsia="仿宋_GB2312"/>
                <w:szCs w:val="21"/>
              </w:rPr>
            </w:pPr>
            <w:r>
              <w:rPr>
                <w:rFonts w:hint="eastAsia" w:ascii="仿宋_GB2312" w:eastAsia="仿宋_GB2312"/>
                <w:szCs w:val="21"/>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6910">
            <w:pPr>
              <w:widowControl/>
              <w:jc w:val="center"/>
              <w:textAlignment w:val="center"/>
              <w:rPr>
                <w:rFonts w:ascii="仿宋_GB2312" w:eastAsia="仿宋_GB2312"/>
                <w:szCs w:val="21"/>
              </w:rPr>
            </w:pPr>
            <w:r>
              <w:rPr>
                <w:rFonts w:hint="eastAsia" w:ascii="仿宋_GB2312" w:eastAsia="仿宋_GB2312"/>
                <w:szCs w:val="21"/>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1BB4">
            <w:pPr>
              <w:widowControl/>
              <w:jc w:val="center"/>
              <w:textAlignment w:val="center"/>
              <w:rPr>
                <w:rFonts w:ascii="仿宋_GB2312" w:eastAsia="仿宋_GB2312"/>
                <w:szCs w:val="21"/>
              </w:rPr>
            </w:pPr>
            <w:r>
              <w:rPr>
                <w:rFonts w:hint="eastAsia" w:ascii="仿宋_GB2312" w:eastAsia="仿宋_GB2312"/>
                <w:szCs w:val="21"/>
              </w:rPr>
              <w:t>0.60</w:t>
            </w:r>
          </w:p>
        </w:tc>
      </w:tr>
      <w:tr w14:paraId="48644D47">
        <w:tblPrEx>
          <w:tblCellMar>
            <w:top w:w="0" w:type="dxa"/>
            <w:left w:w="108" w:type="dxa"/>
            <w:bottom w:w="0" w:type="dxa"/>
            <w:right w:w="108" w:type="dxa"/>
          </w:tblCellMar>
        </w:tblPrEx>
        <w:trPr>
          <w:trHeight w:val="31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7BEE5">
            <w:pPr>
              <w:jc w:val="center"/>
              <w:rPr>
                <w:rFonts w:ascii="仿宋_GB2312" w:eastAsia="仿宋_GB2312"/>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22AF">
            <w:pPr>
              <w:widowControl/>
              <w:jc w:val="center"/>
              <w:textAlignment w:val="center"/>
              <w:rPr>
                <w:rFonts w:ascii="仿宋_GB2312" w:eastAsia="仿宋_GB2312"/>
                <w:szCs w:val="21"/>
              </w:rPr>
            </w:pPr>
            <w:r>
              <w:rPr>
                <w:rFonts w:hint="eastAsia" w:ascii="仿宋_GB2312" w:eastAsia="仿宋_GB2312"/>
                <w:szCs w:val="21"/>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E9F8">
            <w:pPr>
              <w:widowControl/>
              <w:jc w:val="center"/>
              <w:textAlignment w:val="center"/>
              <w:rPr>
                <w:rFonts w:ascii="仿宋_GB2312" w:eastAsia="仿宋_GB2312"/>
                <w:szCs w:val="21"/>
              </w:rPr>
            </w:pPr>
            <w:r>
              <w:rPr>
                <w:rFonts w:hint="eastAsia" w:ascii="仿宋_GB2312" w:eastAsia="仿宋_GB2312"/>
                <w:szCs w:val="21"/>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3679">
            <w:pPr>
              <w:widowControl/>
              <w:jc w:val="center"/>
              <w:textAlignment w:val="center"/>
              <w:rPr>
                <w:rFonts w:ascii="仿宋_GB2312" w:eastAsia="仿宋_GB2312"/>
                <w:szCs w:val="21"/>
              </w:rPr>
            </w:pPr>
            <w:r>
              <w:rPr>
                <w:rFonts w:hint="eastAsia" w:ascii="仿宋_GB2312" w:eastAsia="仿宋_GB2312"/>
                <w:szCs w:val="21"/>
              </w:rPr>
              <w:t>0.90</w:t>
            </w:r>
          </w:p>
        </w:tc>
      </w:tr>
    </w:tbl>
    <w:p w14:paraId="66C5FFF4">
      <w:pPr>
        <w:ind w:firstLine="640" w:firstLineChars="200"/>
        <w:rPr>
          <w:rFonts w:ascii="仿宋_GB2312" w:eastAsia="仿宋_GB2312"/>
          <w:sz w:val="32"/>
        </w:rPr>
      </w:pPr>
      <w:r>
        <w:rPr>
          <w:rFonts w:hint="eastAsia" w:ascii="仿宋_GB2312" w:eastAsia="仿宋_GB2312"/>
          <w:sz w:val="32"/>
        </w:rPr>
        <w:cr/>
      </w:r>
    </w:p>
    <w:p w14:paraId="6726424D">
      <w:pPr>
        <w:ind w:firstLine="643" w:firstLineChars="200"/>
        <w:rPr>
          <w:rFonts w:ascii="仿宋_GB2312" w:eastAsia="仿宋_GB2312"/>
          <w:b/>
          <w:bCs/>
          <w:sz w:val="32"/>
        </w:rPr>
      </w:pPr>
      <w:bookmarkStart w:id="3" w:name="_Toc1063957660"/>
      <w:r>
        <w:rPr>
          <w:rFonts w:hint="eastAsia" w:ascii="仿宋_GB2312" w:eastAsia="仿宋_GB2312"/>
          <w:b/>
          <w:bCs/>
          <w:sz w:val="32"/>
        </w:rPr>
        <w:t>（</w:t>
      </w:r>
    </w:p>
    <w:p w14:paraId="6F4C4DF2">
      <w:pPr>
        <w:ind w:left="638" w:leftChars="304" w:firstLine="0" w:firstLineChars="0"/>
        <w:rPr>
          <w:rFonts w:ascii="仿宋_GB2312" w:eastAsia="仿宋_GB2312"/>
          <w:b/>
          <w:bCs/>
          <w:sz w:val="32"/>
        </w:rPr>
      </w:pPr>
      <w:r>
        <w:rPr>
          <w:rFonts w:hint="eastAsia" w:ascii="仿宋_GB2312" w:eastAsia="仿宋_GB2312"/>
          <w:b/>
          <w:bCs/>
          <w:sz w:val="32"/>
        </w:rPr>
        <w:t>（</w:t>
      </w:r>
      <w:r>
        <w:rPr>
          <w:rFonts w:hint="eastAsia" w:ascii="仿宋_GB2312" w:eastAsia="仿宋_GB2312"/>
          <w:b w:val="0"/>
          <w:bCs w:val="0"/>
          <w:sz w:val="32"/>
          <w:lang w:eastAsia="zh-CN"/>
        </w:rPr>
        <w:t>（</w:t>
      </w:r>
      <w:r>
        <w:rPr>
          <w:rFonts w:hint="eastAsia" w:ascii="仿宋_GB2312" w:eastAsia="仿宋_GB2312"/>
          <w:b w:val="0"/>
          <w:bCs w:val="0"/>
          <w:sz w:val="32"/>
        </w:rPr>
        <w:t>二）免（少）耕播种作业要求</w:t>
      </w:r>
      <w:bookmarkEnd w:id="3"/>
    </w:p>
    <w:p w14:paraId="17F18BE5">
      <w:pPr>
        <w:ind w:firstLine="640" w:firstLineChars="200"/>
        <w:rPr>
          <w:rFonts w:hint="eastAsia" w:ascii="仿宋_GB2312" w:eastAsia="仿宋_GB2312"/>
          <w:sz w:val="32"/>
        </w:rPr>
      </w:pPr>
      <w:bookmarkStart w:id="4" w:name="_Toc281254552"/>
      <w:r>
        <w:rPr>
          <w:rFonts w:hint="eastAsia" w:ascii="仿宋_GB2312" w:eastAsia="仿宋_GB2312"/>
          <w:sz w:val="32"/>
        </w:rPr>
        <w:t>根据北京市当地农艺要求和GB/T 20865《免（少）耕施肥播种机》，在小麦免（少）耕播种</w:t>
      </w:r>
      <w:bookmarkEnd w:id="4"/>
      <w:r>
        <w:rPr>
          <w:rFonts w:hint="eastAsia" w:ascii="仿宋_GB2312" w:eastAsia="仿宋_GB2312"/>
          <w:sz w:val="32"/>
        </w:rPr>
        <w:t>环节，</w:t>
      </w:r>
      <w:bookmarkStart w:id="5" w:name="_Toc2028674594"/>
      <w:r>
        <w:rPr>
          <w:rFonts w:hint="eastAsia" w:ascii="仿宋_GB2312" w:eastAsia="仿宋_GB2312"/>
          <w:sz w:val="32"/>
          <w:lang w:eastAsia="zh-CN"/>
        </w:rPr>
        <w:t>作业质量测算应按照GB/T 20865规定的测算方法。</w:t>
      </w:r>
      <w:r>
        <w:rPr>
          <w:rFonts w:hint="eastAsia" w:ascii="仿宋_GB2312" w:eastAsia="仿宋_GB2312"/>
          <w:sz w:val="32"/>
        </w:rPr>
        <w:t>种子断条率</w:t>
      </w:r>
      <w:r>
        <w:rPr>
          <w:rFonts w:hint="eastAsia" w:ascii="仿宋_GB2312" w:eastAsia="仿宋_GB2312"/>
          <w:sz w:val="32"/>
          <w:lang w:val="en-US" w:eastAsia="zh-CN"/>
        </w:rPr>
        <w:t>不高于</w:t>
      </w:r>
      <w:r>
        <w:rPr>
          <w:rFonts w:hint="eastAsia" w:ascii="仿宋_GB2312" w:eastAsia="仿宋_GB2312"/>
          <w:sz w:val="32"/>
        </w:rPr>
        <w:t>2%，播种深度合格率</w:t>
      </w:r>
      <w:r>
        <w:rPr>
          <w:rFonts w:hint="eastAsia" w:ascii="仿宋_GB2312" w:eastAsia="仿宋_GB2312"/>
          <w:sz w:val="32"/>
          <w:lang w:val="en-US" w:eastAsia="zh-CN"/>
        </w:rPr>
        <w:t>不低于</w:t>
      </w:r>
      <w:r>
        <w:rPr>
          <w:rFonts w:hint="eastAsia" w:ascii="仿宋_GB2312" w:eastAsia="仿宋_GB2312"/>
          <w:sz w:val="32"/>
        </w:rPr>
        <w:t>80%，播种均匀性变异系数</w:t>
      </w:r>
      <w:r>
        <w:rPr>
          <w:rFonts w:hint="eastAsia" w:ascii="仿宋_GB2312" w:eastAsia="仿宋_GB2312"/>
          <w:sz w:val="32"/>
          <w:lang w:val="en-US" w:eastAsia="zh-CN"/>
        </w:rPr>
        <w:t>不高于</w:t>
      </w:r>
      <w:r>
        <w:rPr>
          <w:rFonts w:hint="eastAsia" w:ascii="仿宋_GB2312" w:eastAsia="仿宋_GB2312"/>
          <w:sz w:val="32"/>
        </w:rPr>
        <w:t>45%，各行排种量一致性变异系数</w:t>
      </w:r>
      <w:r>
        <w:rPr>
          <w:rFonts w:hint="eastAsia" w:ascii="仿宋_GB2312" w:eastAsia="仿宋_GB2312"/>
          <w:sz w:val="32"/>
          <w:lang w:val="en-US" w:eastAsia="zh-CN"/>
        </w:rPr>
        <w:t>不高于</w:t>
      </w:r>
      <w:r>
        <w:rPr>
          <w:rFonts w:hint="eastAsia" w:ascii="仿宋_GB2312" w:eastAsia="仿宋_GB2312"/>
          <w:sz w:val="32"/>
        </w:rPr>
        <w:t>3.9%，总排种量稳定性变异系数</w:t>
      </w:r>
      <w:r>
        <w:rPr>
          <w:rFonts w:hint="eastAsia" w:ascii="仿宋_GB2312" w:eastAsia="仿宋_GB2312"/>
          <w:sz w:val="32"/>
          <w:lang w:val="en-US" w:eastAsia="zh-CN"/>
        </w:rPr>
        <w:t>不高于</w:t>
      </w:r>
      <w:r>
        <w:rPr>
          <w:rFonts w:hint="eastAsia" w:ascii="仿宋_GB2312" w:eastAsia="仿宋_GB2312"/>
          <w:sz w:val="32"/>
        </w:rPr>
        <w:t>1.3%；各行排肥量一致性变异系数</w:t>
      </w:r>
      <w:r>
        <w:rPr>
          <w:rFonts w:hint="eastAsia" w:ascii="仿宋_GB2312" w:eastAsia="仿宋_GB2312"/>
          <w:sz w:val="32"/>
          <w:lang w:val="en-US" w:eastAsia="zh-CN"/>
        </w:rPr>
        <w:t>不高于</w:t>
      </w:r>
      <w:r>
        <w:rPr>
          <w:rFonts w:hint="eastAsia" w:ascii="仿宋_GB2312" w:eastAsia="仿宋_GB2312"/>
          <w:sz w:val="32"/>
        </w:rPr>
        <w:t>13%，总排肥量稳定性变异系数</w:t>
      </w:r>
      <w:r>
        <w:rPr>
          <w:rFonts w:hint="eastAsia" w:ascii="仿宋_GB2312" w:eastAsia="仿宋_GB2312"/>
          <w:sz w:val="32"/>
          <w:lang w:val="en-US" w:eastAsia="zh-CN"/>
        </w:rPr>
        <w:t>不高于</w:t>
      </w:r>
      <w:r>
        <w:rPr>
          <w:rFonts w:hint="eastAsia" w:ascii="仿宋_GB2312" w:eastAsia="仿宋_GB2312"/>
          <w:sz w:val="32"/>
        </w:rPr>
        <w:t>7.8%。在玉米免（少）耕播种</w:t>
      </w:r>
      <w:bookmarkEnd w:id="5"/>
      <w:r>
        <w:rPr>
          <w:rFonts w:hint="eastAsia" w:ascii="仿宋_GB2312" w:eastAsia="仿宋_GB2312"/>
          <w:sz w:val="32"/>
        </w:rPr>
        <w:t>环节，</w:t>
      </w:r>
      <w:r>
        <w:rPr>
          <w:rFonts w:hint="eastAsia" w:ascii="仿宋_GB2312" w:eastAsia="仿宋_GB2312"/>
          <w:sz w:val="32"/>
          <w:lang w:eastAsia="zh-CN"/>
        </w:rPr>
        <w:t>作业质量测算应按照GB/T 20865规定的测算方法。</w:t>
      </w:r>
      <w:r>
        <w:rPr>
          <w:rFonts w:hint="eastAsia" w:ascii="仿宋_GB2312" w:eastAsia="仿宋_GB2312"/>
          <w:sz w:val="32"/>
        </w:rPr>
        <w:t>粒距合格率</w:t>
      </w:r>
      <w:r>
        <w:rPr>
          <w:rFonts w:hint="eastAsia" w:ascii="仿宋_GB2312" w:eastAsia="仿宋_GB2312"/>
          <w:sz w:val="32"/>
          <w:lang w:val="en-US" w:eastAsia="zh-CN"/>
        </w:rPr>
        <w:t>不低于</w:t>
      </w:r>
      <w:r>
        <w:rPr>
          <w:rFonts w:hint="eastAsia" w:ascii="仿宋_GB2312" w:eastAsia="仿宋_GB2312"/>
          <w:sz w:val="32"/>
        </w:rPr>
        <w:t>95%，重播率</w:t>
      </w:r>
      <w:r>
        <w:rPr>
          <w:rFonts w:hint="eastAsia" w:ascii="仿宋_GB2312" w:eastAsia="仿宋_GB2312"/>
          <w:sz w:val="32"/>
          <w:lang w:val="en-US" w:eastAsia="zh-CN"/>
        </w:rPr>
        <w:t>不高于</w:t>
      </w:r>
      <w:r>
        <w:rPr>
          <w:rFonts w:hint="eastAsia" w:ascii="仿宋_GB2312" w:eastAsia="仿宋_GB2312"/>
          <w:sz w:val="32"/>
        </w:rPr>
        <w:t>2%，漏播率</w:t>
      </w:r>
      <w:r>
        <w:rPr>
          <w:rFonts w:hint="eastAsia" w:ascii="仿宋_GB2312" w:eastAsia="仿宋_GB2312"/>
          <w:sz w:val="32"/>
          <w:lang w:val="en-US" w:eastAsia="zh-CN"/>
        </w:rPr>
        <w:t>不高于</w:t>
      </w:r>
      <w:r>
        <w:rPr>
          <w:rFonts w:hint="eastAsia" w:ascii="仿宋_GB2312" w:eastAsia="仿宋_GB2312"/>
          <w:sz w:val="32"/>
        </w:rPr>
        <w:t>2%，播种深度合格率</w:t>
      </w:r>
      <w:r>
        <w:rPr>
          <w:rFonts w:hint="eastAsia" w:ascii="仿宋_GB2312" w:eastAsia="仿宋_GB2312"/>
          <w:sz w:val="32"/>
          <w:lang w:val="en-US" w:eastAsia="zh-CN"/>
        </w:rPr>
        <w:t>不低于</w:t>
      </w:r>
      <w:r>
        <w:rPr>
          <w:rFonts w:hint="eastAsia" w:ascii="仿宋_GB2312" w:eastAsia="仿宋_GB2312"/>
          <w:sz w:val="32"/>
        </w:rPr>
        <w:t>80%；各行排肥量一致性变异系数</w:t>
      </w:r>
      <w:r>
        <w:rPr>
          <w:rFonts w:hint="eastAsia" w:ascii="仿宋_GB2312" w:eastAsia="仿宋_GB2312"/>
          <w:sz w:val="32"/>
          <w:lang w:val="en-US" w:eastAsia="zh-CN"/>
        </w:rPr>
        <w:t>不高于</w:t>
      </w:r>
      <w:r>
        <w:rPr>
          <w:rFonts w:hint="eastAsia" w:ascii="仿宋_GB2312" w:eastAsia="仿宋_GB2312"/>
          <w:sz w:val="32"/>
        </w:rPr>
        <w:t>13%，总排肥量稳定性变异系数</w:t>
      </w:r>
      <w:r>
        <w:rPr>
          <w:rFonts w:hint="eastAsia" w:ascii="仿宋_GB2312" w:eastAsia="仿宋_GB2312"/>
          <w:sz w:val="32"/>
          <w:lang w:val="en-US" w:eastAsia="zh-CN"/>
        </w:rPr>
        <w:t>不高于</w:t>
      </w:r>
      <w:r>
        <w:rPr>
          <w:rFonts w:hint="eastAsia" w:ascii="仿宋_GB2312" w:eastAsia="仿宋_GB2312"/>
          <w:sz w:val="32"/>
        </w:rPr>
        <w:t>7.8%。</w:t>
      </w:r>
    </w:p>
    <w:p w14:paraId="5143BA84">
      <w:pPr>
        <w:ind w:firstLine="640" w:firstLineChars="200"/>
        <w:rPr>
          <w:rFonts w:ascii="仿宋_GB2312" w:eastAsia="仿宋_GB2312"/>
          <w:sz w:val="32"/>
        </w:rPr>
      </w:pPr>
      <w:r>
        <w:rPr>
          <w:rFonts w:hint="eastAsia" w:ascii="仿宋_GB2312" w:eastAsia="仿宋_GB2312"/>
          <w:sz w:val="32"/>
        </w:rPr>
        <w:t>少免耕作业质量监测应具备区分地表耕作情况，判断出是否符合少免耕地表要求的功能；通过调查相关企业，确定图像信息采集频率不得少于</w:t>
      </w:r>
      <w:r>
        <w:rPr>
          <w:rFonts w:hint="eastAsia" w:ascii="仿宋_GB2312" w:eastAsia="仿宋_GB2312"/>
          <w:sz w:val="32"/>
          <w:lang w:eastAsia="zh-CN"/>
        </w:rPr>
        <w:t>每小时</w:t>
      </w:r>
      <w:r>
        <w:rPr>
          <w:rFonts w:hint="eastAsia" w:ascii="仿宋_GB2312" w:eastAsia="仿宋_GB2312"/>
          <w:sz w:val="32"/>
          <w:lang w:val="en-US" w:eastAsia="zh-CN"/>
        </w:rPr>
        <w:t>2次</w:t>
      </w:r>
      <w:r>
        <w:rPr>
          <w:rFonts w:hint="eastAsia" w:ascii="仿宋_GB2312" w:eastAsia="仿宋_GB2312"/>
          <w:sz w:val="32"/>
        </w:rPr>
        <w:t>；作业面积的计量精度应不</w:t>
      </w:r>
      <w:r>
        <w:rPr>
          <w:rFonts w:hint="eastAsia" w:ascii="仿宋_GB2312" w:eastAsia="仿宋_GB2312"/>
          <w:sz w:val="32"/>
          <w:lang w:eastAsia="zh-CN"/>
        </w:rPr>
        <w:t>低</w:t>
      </w:r>
      <w:r>
        <w:rPr>
          <w:rFonts w:hint="eastAsia" w:ascii="仿宋_GB2312" w:eastAsia="仿宋_GB2312"/>
          <w:sz w:val="32"/>
        </w:rPr>
        <w:t>于97%。</w:t>
      </w:r>
    </w:p>
    <w:p w14:paraId="7198BE57">
      <w:pPr>
        <w:ind w:firstLine="640" w:firstLineChars="200"/>
        <w:rPr>
          <w:rFonts w:hint="eastAsia" w:ascii="仿宋_GB2312" w:eastAsia="仿宋_GB2312"/>
          <w:b w:val="0"/>
          <w:bCs w:val="0"/>
          <w:sz w:val="32"/>
        </w:rPr>
      </w:pPr>
      <w:bookmarkStart w:id="6" w:name="_Toc1168138485"/>
      <w:r>
        <w:rPr>
          <w:rFonts w:hint="eastAsia" w:ascii="仿宋_GB2312" w:eastAsia="仿宋_GB2312"/>
          <w:b w:val="0"/>
          <w:bCs w:val="0"/>
          <w:sz w:val="32"/>
        </w:rPr>
        <w:t>（三）秸秆粉碎覆盖还田作业要求</w:t>
      </w:r>
      <w:bookmarkEnd w:id="6"/>
    </w:p>
    <w:p w14:paraId="5A168F3F">
      <w:pPr>
        <w:ind w:firstLine="640" w:firstLineChars="200"/>
        <w:rPr>
          <w:rFonts w:hint="eastAsia" w:ascii="仿宋_GB2312" w:eastAsia="仿宋_GB2312"/>
          <w:sz w:val="32"/>
        </w:rPr>
      </w:pPr>
      <w:r>
        <w:rPr>
          <w:rFonts w:hint="eastAsia" w:ascii="仿宋_GB2312" w:eastAsia="仿宋_GB2312"/>
          <w:sz w:val="32"/>
        </w:rPr>
        <w:t>为保障收获质量，规定了机具作业条件，土壤含水率适宜机组作业，小麦秸秆含水率</w:t>
      </w:r>
      <w:r>
        <w:rPr>
          <w:rFonts w:hint="eastAsia" w:ascii="仿宋_GB2312" w:eastAsia="仿宋_GB2312"/>
          <w:sz w:val="32"/>
          <w:lang w:val="en-US" w:eastAsia="zh-CN"/>
        </w:rPr>
        <w:t>不高于</w:t>
      </w:r>
      <w:r>
        <w:rPr>
          <w:rFonts w:hint="eastAsia" w:ascii="仿宋_GB2312" w:eastAsia="仿宋_GB2312"/>
          <w:sz w:val="32"/>
        </w:rPr>
        <w:t>17 %，玉米秸秆含水率</w:t>
      </w:r>
      <w:r>
        <w:rPr>
          <w:rFonts w:hint="eastAsia" w:ascii="仿宋_GB2312" w:eastAsia="仿宋_GB2312"/>
          <w:sz w:val="32"/>
          <w:lang w:val="en-US" w:eastAsia="zh-CN"/>
        </w:rPr>
        <w:t>不高于</w:t>
      </w:r>
      <w:r>
        <w:rPr>
          <w:rFonts w:hint="eastAsia" w:ascii="仿宋_GB2312" w:eastAsia="仿宋_GB2312"/>
          <w:sz w:val="32"/>
        </w:rPr>
        <w:t>15%或</w:t>
      </w:r>
      <w:r>
        <w:rPr>
          <w:rFonts w:hint="eastAsia" w:ascii="仿宋_GB2312" w:eastAsia="仿宋_GB2312"/>
          <w:sz w:val="32"/>
          <w:lang w:val="en-US" w:eastAsia="zh-CN"/>
        </w:rPr>
        <w:t>不低于</w:t>
      </w:r>
      <w:r>
        <w:rPr>
          <w:rFonts w:hint="eastAsia" w:ascii="仿宋_GB2312" w:eastAsia="仿宋_GB2312"/>
          <w:sz w:val="32"/>
        </w:rPr>
        <w:t>30%。</w:t>
      </w:r>
    </w:p>
    <w:p w14:paraId="22382E37">
      <w:pPr>
        <w:ind w:firstLine="640" w:firstLineChars="200"/>
        <w:rPr>
          <w:rFonts w:hint="eastAsia" w:ascii="仿宋_GB2312" w:eastAsia="仿宋_GB2312"/>
          <w:sz w:val="32"/>
        </w:rPr>
      </w:pPr>
      <w:r>
        <w:rPr>
          <w:rFonts w:hint="eastAsia" w:ascii="仿宋_GB2312" w:eastAsia="仿宋_GB2312"/>
          <w:sz w:val="32"/>
        </w:rPr>
        <w:t>应选择符合GB/T 24675.6 要求的专用秸秆粉碎还田机或者配备秸秆粉碎还田装置的联合收获机，同时机具可配备能实时监测秸秆还田质量的终端。</w:t>
      </w:r>
    </w:p>
    <w:p w14:paraId="6A552311">
      <w:pPr>
        <w:ind w:firstLine="640" w:firstLineChars="200"/>
        <w:rPr>
          <w:rFonts w:ascii="仿宋_GB2312" w:eastAsia="仿宋_GB2312"/>
          <w:sz w:val="32"/>
        </w:rPr>
      </w:pPr>
      <w:r>
        <w:rPr>
          <w:rFonts w:hint="eastAsia" w:ascii="仿宋_GB2312" w:eastAsia="仿宋_GB2312"/>
          <w:sz w:val="32"/>
        </w:rPr>
        <w:t>机具作业质量要求</w:t>
      </w:r>
      <w:bookmarkStart w:id="50" w:name="_GoBack"/>
      <w:bookmarkEnd w:id="50"/>
      <w:r>
        <w:rPr>
          <w:rFonts w:hint="eastAsia" w:ascii="仿宋_GB2312" w:eastAsia="仿宋_GB2312"/>
          <w:sz w:val="32"/>
        </w:rPr>
        <w:t>秸秆粉碎长度（小麦秸秆</w:t>
      </w:r>
      <w:r>
        <w:rPr>
          <w:rFonts w:hint="eastAsia" w:ascii="仿宋_GB2312" w:eastAsia="仿宋_GB2312"/>
          <w:sz w:val="32"/>
          <w:lang w:val="en-US" w:eastAsia="zh-CN"/>
        </w:rPr>
        <w:t>不高于</w:t>
      </w:r>
      <w:r>
        <w:rPr>
          <w:rFonts w:hint="eastAsia" w:ascii="仿宋_GB2312" w:eastAsia="仿宋_GB2312"/>
          <w:sz w:val="32"/>
        </w:rPr>
        <w:t>15</w:t>
      </w:r>
      <w:r>
        <w:rPr>
          <w:rFonts w:hint="eastAsia" w:ascii="仿宋_GB2312" w:eastAsia="仿宋_GB2312"/>
          <w:sz w:val="32"/>
          <w:lang w:val="en-US" w:eastAsia="zh-CN"/>
        </w:rPr>
        <w:t>0 mm</w:t>
      </w:r>
      <w:r>
        <w:rPr>
          <w:rFonts w:hint="eastAsia" w:ascii="仿宋_GB2312" w:eastAsia="仿宋_GB2312"/>
          <w:sz w:val="32"/>
        </w:rPr>
        <w:t>，玉米秸秆</w:t>
      </w:r>
      <w:r>
        <w:rPr>
          <w:rFonts w:hint="eastAsia" w:ascii="仿宋_GB2312" w:eastAsia="仿宋_GB2312"/>
          <w:sz w:val="32"/>
          <w:lang w:val="en-US" w:eastAsia="zh-CN"/>
        </w:rPr>
        <w:t>不高于</w:t>
      </w:r>
      <w:r>
        <w:rPr>
          <w:rFonts w:hint="eastAsia" w:ascii="仿宋_GB2312" w:eastAsia="仿宋_GB2312"/>
          <w:sz w:val="32"/>
        </w:rPr>
        <w:t>10</w:t>
      </w:r>
      <w:r>
        <w:rPr>
          <w:rFonts w:hint="eastAsia" w:ascii="仿宋_GB2312" w:eastAsia="仿宋_GB2312"/>
          <w:sz w:val="32"/>
          <w:lang w:val="en-US" w:eastAsia="zh-CN"/>
        </w:rPr>
        <w:t>0 mm</w:t>
      </w:r>
      <w:r>
        <w:rPr>
          <w:rFonts w:hint="eastAsia" w:ascii="仿宋_GB2312" w:eastAsia="仿宋_GB2312"/>
          <w:sz w:val="32"/>
        </w:rPr>
        <w:t>）合格率</w:t>
      </w:r>
      <w:r>
        <w:rPr>
          <w:rFonts w:hint="eastAsia" w:ascii="仿宋_GB2312" w:eastAsia="仿宋_GB2312"/>
          <w:sz w:val="32"/>
          <w:lang w:val="en-US" w:eastAsia="zh-CN"/>
        </w:rPr>
        <w:t>不低于85</w:t>
      </w:r>
      <w:r>
        <w:rPr>
          <w:rFonts w:hint="eastAsia" w:ascii="仿宋_GB2312" w:eastAsia="仿宋_GB2312"/>
          <w:sz w:val="32"/>
        </w:rPr>
        <w:t>%，残茬高度</w:t>
      </w:r>
      <w:r>
        <w:rPr>
          <w:rFonts w:hint="eastAsia" w:ascii="仿宋_GB2312" w:eastAsia="仿宋_GB2312"/>
          <w:sz w:val="32"/>
          <w:lang w:val="en-US" w:eastAsia="zh-CN"/>
        </w:rPr>
        <w:t>不高于</w:t>
      </w:r>
      <w:r>
        <w:rPr>
          <w:rFonts w:hint="eastAsia" w:ascii="仿宋_GB2312" w:eastAsia="仿宋_GB2312"/>
          <w:sz w:val="32"/>
        </w:rPr>
        <w:t>8</w:t>
      </w:r>
      <w:r>
        <w:rPr>
          <w:rFonts w:hint="eastAsia" w:ascii="仿宋_GB2312" w:eastAsia="仿宋_GB2312"/>
          <w:sz w:val="32"/>
          <w:lang w:val="en-US" w:eastAsia="zh-CN"/>
        </w:rPr>
        <w:t>0mm</w:t>
      </w:r>
      <w:r>
        <w:rPr>
          <w:rFonts w:hint="eastAsia" w:ascii="仿宋_GB2312" w:eastAsia="仿宋_GB2312"/>
          <w:sz w:val="32"/>
        </w:rPr>
        <w:t>，抛洒不均率</w:t>
      </w:r>
      <w:r>
        <w:rPr>
          <w:rFonts w:hint="eastAsia" w:ascii="仿宋_GB2312" w:eastAsia="仿宋_GB2312"/>
          <w:sz w:val="32"/>
          <w:lang w:val="en-US" w:eastAsia="zh-CN"/>
        </w:rPr>
        <w:t>不高于</w:t>
      </w:r>
      <w:r>
        <w:rPr>
          <w:rFonts w:hint="eastAsia" w:ascii="仿宋_GB2312" w:eastAsia="仿宋_GB2312"/>
          <w:sz w:val="32"/>
        </w:rPr>
        <w:t>25%，漏切率</w:t>
      </w:r>
      <w:r>
        <w:rPr>
          <w:rFonts w:hint="eastAsia" w:ascii="仿宋_GB2312" w:eastAsia="仿宋_GB2312"/>
          <w:sz w:val="32"/>
          <w:lang w:val="en-US" w:eastAsia="zh-CN"/>
        </w:rPr>
        <w:t>不高于</w:t>
      </w:r>
      <w:r>
        <w:rPr>
          <w:rFonts w:hint="eastAsia" w:ascii="仿宋_GB2312" w:eastAsia="仿宋_GB2312"/>
          <w:sz w:val="32"/>
        </w:rPr>
        <w:t>1.5%，且无明显漏切。机具可配备能实时监测秸秆还田质量的终端。</w:t>
      </w:r>
    </w:p>
    <w:p w14:paraId="464D595A">
      <w:pPr>
        <w:ind w:firstLine="640" w:firstLineChars="200"/>
        <w:rPr>
          <w:rFonts w:ascii="仿宋_GB2312" w:eastAsia="仿宋_GB2312"/>
          <w:sz w:val="32"/>
        </w:rPr>
      </w:pPr>
      <w:bookmarkStart w:id="7" w:name="_Toc2046410625"/>
      <w:r>
        <w:rPr>
          <w:rFonts w:hint="eastAsia" w:ascii="仿宋_GB2312" w:eastAsia="仿宋_GB2312"/>
          <w:sz w:val="32"/>
        </w:rPr>
        <w:t>配备的作业质量监测</w:t>
      </w:r>
      <w:bookmarkEnd w:id="7"/>
      <w:r>
        <w:rPr>
          <w:rFonts w:hint="eastAsia" w:ascii="仿宋_GB2312" w:eastAsia="仿宋_GB2312"/>
          <w:sz w:val="32"/>
        </w:rPr>
        <w:t>终端应具备区分不同作物并能准确计算出秸秆覆盖率功能。根据调研相关企业产品及查阅资料，确定作业面积的计量精度应不</w:t>
      </w:r>
      <w:r>
        <w:rPr>
          <w:rFonts w:hint="eastAsia" w:ascii="仿宋_GB2312" w:eastAsia="仿宋_GB2312"/>
          <w:sz w:val="32"/>
          <w:lang w:eastAsia="zh-CN"/>
        </w:rPr>
        <w:t>低于</w:t>
      </w:r>
      <w:r>
        <w:rPr>
          <w:rFonts w:hint="eastAsia" w:ascii="仿宋_GB2312" w:eastAsia="仿宋_GB2312"/>
          <w:sz w:val="32"/>
        </w:rPr>
        <w:t>97%；图像信息采集频率不得少于</w:t>
      </w:r>
      <w:r>
        <w:rPr>
          <w:rFonts w:hint="eastAsia" w:ascii="仿宋_GB2312" w:eastAsia="仿宋_GB2312"/>
          <w:sz w:val="32"/>
          <w:lang w:eastAsia="zh-CN"/>
        </w:rPr>
        <w:t>每小时</w:t>
      </w:r>
      <w:r>
        <w:rPr>
          <w:rFonts w:hint="eastAsia" w:ascii="仿宋_GB2312" w:eastAsia="仿宋_GB2312"/>
          <w:sz w:val="32"/>
          <w:lang w:val="en-US" w:eastAsia="zh-CN"/>
        </w:rPr>
        <w:t>2次</w:t>
      </w:r>
      <w:r>
        <w:rPr>
          <w:rFonts w:hint="eastAsia" w:ascii="仿宋_GB2312" w:eastAsia="仿宋_GB2312"/>
          <w:sz w:val="32"/>
        </w:rPr>
        <w:t>。</w:t>
      </w:r>
    </w:p>
    <w:p w14:paraId="3500B8B2">
      <w:pPr>
        <w:ind w:firstLine="640" w:firstLineChars="200"/>
        <w:rPr>
          <w:rFonts w:ascii="仿宋_GB2312" w:eastAsia="仿宋_GB2312"/>
          <w:b w:val="0"/>
          <w:bCs w:val="0"/>
          <w:sz w:val="32"/>
        </w:rPr>
      </w:pPr>
      <w:bookmarkStart w:id="8" w:name="_Toc124924565"/>
      <w:bookmarkStart w:id="9" w:name="_Toc146784257"/>
      <w:r>
        <w:rPr>
          <w:rFonts w:hint="eastAsia" w:ascii="仿宋_GB2312" w:eastAsia="仿宋_GB2312"/>
          <w:b w:val="0"/>
          <w:bCs w:val="0"/>
          <w:sz w:val="32"/>
        </w:rPr>
        <w:t>（四）终端功能要求</w:t>
      </w:r>
      <w:bookmarkEnd w:id="8"/>
      <w:bookmarkEnd w:id="9"/>
    </w:p>
    <w:p w14:paraId="0D3C427C">
      <w:pPr>
        <w:ind w:firstLine="640" w:firstLineChars="200"/>
        <w:rPr>
          <w:rFonts w:ascii="仿宋_GB2312" w:eastAsia="仿宋_GB2312"/>
          <w:sz w:val="32"/>
        </w:rPr>
      </w:pPr>
      <w:bookmarkStart w:id="10" w:name="_Toc84873654"/>
      <w:bookmarkStart w:id="11" w:name="_Toc1694894326"/>
      <w:bookmarkStart w:id="12" w:name="_Toc84873682"/>
      <w:bookmarkStart w:id="13" w:name="_Toc84873710"/>
      <w:bookmarkStart w:id="14" w:name="_Toc144723233"/>
      <w:r>
        <w:rPr>
          <w:rFonts w:hint="eastAsia" w:ascii="仿宋_GB2312" w:eastAsia="仿宋_GB2312"/>
          <w:sz w:val="32"/>
        </w:rPr>
        <w:t>为了实现土壤深松、免（少）耕播种、秸秆粉碎覆盖还田等三个环节作业质量监测和统计，终端应该具备卫星定位</w:t>
      </w:r>
      <w:bookmarkEnd w:id="10"/>
      <w:bookmarkEnd w:id="11"/>
      <w:bookmarkEnd w:id="12"/>
      <w:bookmarkEnd w:id="13"/>
      <w:bookmarkEnd w:id="14"/>
      <w:bookmarkStart w:id="15" w:name="_Toc885692981"/>
      <w:bookmarkStart w:id="16" w:name="_Toc84873683"/>
      <w:bookmarkStart w:id="17" w:name="_Toc84873711"/>
      <w:bookmarkStart w:id="18" w:name="_Toc144723234"/>
      <w:bookmarkStart w:id="19" w:name="_Toc84873655"/>
      <w:r>
        <w:rPr>
          <w:rFonts w:hint="eastAsia" w:ascii="仿宋_GB2312" w:eastAsia="仿宋_GB2312"/>
          <w:sz w:val="32"/>
        </w:rPr>
        <w:t>、无线通信</w:t>
      </w:r>
      <w:bookmarkEnd w:id="15"/>
      <w:bookmarkEnd w:id="16"/>
      <w:bookmarkEnd w:id="17"/>
      <w:bookmarkEnd w:id="18"/>
      <w:bookmarkEnd w:id="19"/>
      <w:bookmarkStart w:id="20" w:name="_Toc84873685"/>
      <w:bookmarkStart w:id="21" w:name="_Toc84873657"/>
      <w:bookmarkStart w:id="22" w:name="_Toc84873713"/>
      <w:bookmarkStart w:id="23" w:name="_Toc144723235"/>
      <w:bookmarkStart w:id="24" w:name="_Toc451356296"/>
      <w:r>
        <w:rPr>
          <w:rFonts w:hint="eastAsia" w:ascii="仿宋_GB2312" w:eastAsia="仿宋_GB2312"/>
          <w:sz w:val="32"/>
        </w:rPr>
        <w:t>、作业</w:t>
      </w:r>
      <w:bookmarkEnd w:id="20"/>
      <w:bookmarkEnd w:id="21"/>
      <w:bookmarkEnd w:id="22"/>
      <w:r>
        <w:rPr>
          <w:rFonts w:hint="eastAsia" w:ascii="仿宋_GB2312" w:eastAsia="仿宋_GB2312"/>
          <w:sz w:val="32"/>
        </w:rPr>
        <w:t>质量监测</w:t>
      </w:r>
      <w:bookmarkEnd w:id="23"/>
      <w:bookmarkEnd w:id="24"/>
      <w:bookmarkStart w:id="25" w:name="_Toc1675486029"/>
      <w:bookmarkStart w:id="26" w:name="_Toc84873656"/>
      <w:bookmarkStart w:id="27" w:name="_Toc144723236"/>
      <w:bookmarkStart w:id="28" w:name="_Toc84873712"/>
      <w:bookmarkStart w:id="29" w:name="_Toc84873684"/>
      <w:r>
        <w:rPr>
          <w:rFonts w:hint="eastAsia" w:ascii="仿宋_GB2312" w:eastAsia="仿宋_GB2312"/>
          <w:sz w:val="32"/>
        </w:rPr>
        <w:t>、机具识别</w:t>
      </w:r>
      <w:bookmarkEnd w:id="25"/>
      <w:bookmarkEnd w:id="26"/>
      <w:bookmarkEnd w:id="27"/>
      <w:bookmarkEnd w:id="28"/>
      <w:bookmarkEnd w:id="29"/>
      <w:bookmarkStart w:id="30" w:name="_Toc84873714"/>
      <w:bookmarkStart w:id="31" w:name="_Toc84873686"/>
      <w:bookmarkStart w:id="32" w:name="_Toc84873658"/>
      <w:bookmarkStart w:id="33" w:name="_Toc144723237"/>
      <w:bookmarkStart w:id="34" w:name="_Toc1531385998"/>
      <w:r>
        <w:rPr>
          <w:rFonts w:hint="eastAsia" w:ascii="仿宋_GB2312" w:eastAsia="仿宋_GB2312"/>
          <w:sz w:val="32"/>
        </w:rPr>
        <w:t>、图像信息采集</w:t>
      </w:r>
      <w:bookmarkEnd w:id="30"/>
      <w:bookmarkEnd w:id="31"/>
      <w:bookmarkEnd w:id="32"/>
      <w:bookmarkEnd w:id="33"/>
      <w:bookmarkEnd w:id="34"/>
      <w:bookmarkStart w:id="35" w:name="_Toc84873659"/>
      <w:bookmarkStart w:id="36" w:name="_Toc1354423582"/>
      <w:bookmarkStart w:id="37" w:name="_Toc84873687"/>
      <w:bookmarkStart w:id="38" w:name="_Toc84873715"/>
      <w:bookmarkStart w:id="39" w:name="_Toc144723238"/>
      <w:r>
        <w:rPr>
          <w:rFonts w:hint="eastAsia" w:ascii="仿宋_GB2312" w:eastAsia="仿宋_GB2312"/>
          <w:sz w:val="32"/>
        </w:rPr>
        <w:t>、显示及人机交互</w:t>
      </w:r>
      <w:bookmarkEnd w:id="35"/>
      <w:bookmarkEnd w:id="36"/>
      <w:bookmarkEnd w:id="37"/>
      <w:bookmarkEnd w:id="38"/>
      <w:bookmarkEnd w:id="39"/>
      <w:r>
        <w:rPr>
          <w:rFonts w:hint="eastAsia" w:ascii="仿宋_GB2312" w:eastAsia="仿宋_GB2312"/>
          <w:sz w:val="32"/>
        </w:rPr>
        <w:t>等功能要求。</w:t>
      </w:r>
    </w:p>
    <w:bookmarkEnd w:id="1"/>
    <w:p w14:paraId="68A263C3">
      <w:pPr>
        <w:ind w:firstLine="640" w:firstLineChars="200"/>
        <w:rPr>
          <w:rFonts w:hint="eastAsia" w:ascii="仿宋_GB2312" w:eastAsia="仿宋_GB2312"/>
          <w:b w:val="0"/>
          <w:bCs w:val="0"/>
          <w:sz w:val="32"/>
        </w:rPr>
      </w:pPr>
      <w:bookmarkStart w:id="40" w:name="_Toc146784262"/>
      <w:bookmarkStart w:id="41" w:name="_Toc425780602"/>
      <w:r>
        <w:rPr>
          <w:rFonts w:hint="eastAsia" w:ascii="仿宋_GB2312" w:eastAsia="仿宋_GB2312"/>
          <w:b w:val="0"/>
          <w:bCs w:val="0"/>
          <w:sz w:val="32"/>
        </w:rPr>
        <w:t>（五）终端安装要求</w:t>
      </w:r>
      <w:bookmarkEnd w:id="40"/>
      <w:bookmarkEnd w:id="41"/>
    </w:p>
    <w:p w14:paraId="7BC8CB77">
      <w:pPr>
        <w:pStyle w:val="2"/>
        <w:ind w:firstLine="640" w:firstLineChars="200"/>
      </w:pPr>
      <w:bookmarkStart w:id="42" w:name="_Toc608694974"/>
      <w:bookmarkStart w:id="43" w:name="_Toc146784263"/>
      <w:r>
        <w:rPr>
          <w:rFonts w:hint="eastAsia" w:ascii="仿宋_GB2312" w:eastAsia="仿宋_GB2312"/>
          <w:sz w:val="32"/>
        </w:rPr>
        <w:t>由于农机作业环境恶劣，为保障终端在使用过程中稳定运行，降低故障率，提升应用效果，终端安装应该符合以下要求。监测主机安装</w:t>
      </w:r>
      <w:bookmarkEnd w:id="42"/>
      <w:bookmarkEnd w:id="43"/>
      <w:r>
        <w:rPr>
          <w:rFonts w:hint="eastAsia" w:ascii="仿宋_GB2312" w:eastAsia="仿宋_GB2312"/>
          <w:sz w:val="32"/>
        </w:rPr>
        <w:t>在驾驶室中适宜机手观察的位置。</w:t>
      </w:r>
      <w:bookmarkStart w:id="44" w:name="_Toc146784264"/>
      <w:bookmarkStart w:id="45" w:name="_Toc269364076"/>
      <w:r>
        <w:rPr>
          <w:rFonts w:hint="eastAsia" w:ascii="仿宋_GB2312" w:eastAsia="仿宋_GB2312"/>
          <w:sz w:val="32"/>
        </w:rPr>
        <w:t>作业质量监测传感器安装</w:t>
      </w:r>
      <w:bookmarkEnd w:id="44"/>
      <w:bookmarkEnd w:id="45"/>
      <w:r>
        <w:rPr>
          <w:rFonts w:hint="eastAsia" w:ascii="仿宋_GB2312" w:eastAsia="仿宋_GB2312"/>
          <w:sz w:val="32"/>
        </w:rPr>
        <w:t>走线时一定要避开联动件，防止把线拉断，提前预留好足够的线长，保证农机作业放下大臂时，传感器的</w:t>
      </w:r>
      <w:r>
        <w:rPr>
          <w:rFonts w:hint="eastAsia" w:ascii="仿宋_GB2312" w:eastAsia="仿宋_GB2312"/>
          <w:sz w:val="32"/>
          <w:lang w:eastAsia="zh-CN"/>
        </w:rPr>
        <w:t>线</w:t>
      </w:r>
      <w:r>
        <w:rPr>
          <w:rFonts w:hint="eastAsia" w:ascii="仿宋_GB2312" w:eastAsia="仿宋_GB2312"/>
          <w:sz w:val="32"/>
        </w:rPr>
        <w:t>不被拉断。</w:t>
      </w:r>
      <w:bookmarkStart w:id="46" w:name="_Toc146784265"/>
      <w:bookmarkStart w:id="47" w:name="_Toc497615503"/>
      <w:r>
        <w:rPr>
          <w:rFonts w:hint="eastAsia" w:ascii="仿宋_GB2312" w:eastAsia="仿宋_GB2312"/>
          <w:sz w:val="32"/>
        </w:rPr>
        <w:t>机具识别器安装</w:t>
      </w:r>
      <w:bookmarkEnd w:id="46"/>
      <w:bookmarkEnd w:id="47"/>
      <w:r>
        <w:rPr>
          <w:rFonts w:hint="eastAsia" w:ascii="仿宋_GB2312" w:eastAsia="仿宋_GB2312"/>
          <w:sz w:val="32"/>
        </w:rPr>
        <w:t>在横梁位置处尽可能高的地方，减少作业过程中外界杂物对设备的磨损，安装时提前预留好足够用的线长，保证农具在作业时线够长。</w:t>
      </w:r>
      <w:bookmarkStart w:id="48" w:name="_Toc1024597785"/>
      <w:bookmarkStart w:id="49" w:name="_Toc146784266"/>
      <w:r>
        <w:rPr>
          <w:rFonts w:hint="eastAsia" w:ascii="仿宋_GB2312" w:eastAsia="仿宋_GB2312"/>
          <w:sz w:val="32"/>
        </w:rPr>
        <w:t>摄像头安装</w:t>
      </w:r>
      <w:bookmarkEnd w:id="48"/>
      <w:bookmarkEnd w:id="49"/>
      <w:r>
        <w:rPr>
          <w:rFonts w:hint="eastAsia" w:ascii="仿宋_GB2312" w:eastAsia="仿宋_GB2312"/>
          <w:sz w:val="32"/>
        </w:rPr>
        <w:t>要保证采集到的机具画面的完整性，视角能看到整个农具，不应安装到机具升起时可能磕碰到的地方。定位天线应固定在车辆驾驶室外车顶，保证正面朝上，上方无遮挡。</w:t>
      </w:r>
    </w:p>
    <w:p w14:paraId="756ECBD1">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重大意见分歧的处理依据和结果</w:t>
      </w:r>
    </w:p>
    <w:p w14:paraId="1392A26F">
      <w:pPr>
        <w:ind w:firstLine="640" w:firstLineChars="200"/>
        <w:rPr>
          <w:rFonts w:ascii="仿宋_GB2312" w:eastAsia="仿宋_GB2312"/>
          <w:sz w:val="32"/>
        </w:rPr>
      </w:pPr>
      <w:r>
        <w:rPr>
          <w:rFonts w:hint="eastAsia" w:ascii="仿宋_GB2312" w:eastAsia="仿宋_GB2312"/>
          <w:sz w:val="32"/>
        </w:rPr>
        <w:t>无。</w:t>
      </w:r>
    </w:p>
    <w:p w14:paraId="2C09ABD8">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与国内外同类标准水平的对比情况</w:t>
      </w:r>
    </w:p>
    <w:p w14:paraId="39D0F186">
      <w:pPr>
        <w:ind w:left="319" w:leftChars="152" w:firstLine="480" w:firstLineChars="150"/>
        <w:rPr>
          <w:rFonts w:hint="eastAsia" w:ascii="仿宋_GB2312" w:eastAsia="仿宋_GB2312"/>
          <w:sz w:val="32"/>
        </w:rPr>
      </w:pPr>
      <w:r>
        <w:rPr>
          <w:rFonts w:hint="eastAsia" w:ascii="仿宋_GB2312" w:eastAsia="仿宋_GB2312"/>
          <w:sz w:val="32"/>
        </w:rPr>
        <w:t>本标准与国外标准没有相同处。</w:t>
      </w:r>
    </w:p>
    <w:p w14:paraId="42D9E82E">
      <w:pPr>
        <w:ind w:left="319" w:leftChars="152" w:firstLine="480" w:firstLineChars="150"/>
        <w:rPr>
          <w:rFonts w:hint="eastAsia" w:ascii="仿宋_GB2312" w:eastAsia="仿宋_GB2312"/>
          <w:sz w:val="32"/>
        </w:rPr>
      </w:pPr>
      <w:r>
        <w:rPr>
          <w:rFonts w:hint="eastAsia" w:ascii="仿宋_GB2312" w:eastAsia="仿宋_GB2312"/>
          <w:sz w:val="32"/>
        </w:rPr>
        <w:t>本标准与国内相关标准对比：</w:t>
      </w:r>
    </w:p>
    <w:p w14:paraId="2327C4F9">
      <w:pPr>
        <w:ind w:left="319" w:leftChars="152" w:firstLine="480" w:firstLineChars="150"/>
        <w:rPr>
          <w:rFonts w:hint="eastAsia" w:ascii="仿宋_GB2312" w:eastAsia="仿宋_GB2312"/>
          <w:sz w:val="32"/>
        </w:rPr>
      </w:pPr>
      <w:r>
        <w:rPr>
          <w:rFonts w:hint="eastAsia" w:ascii="仿宋_GB2312" w:eastAsia="仿宋_GB2312"/>
          <w:sz w:val="32"/>
        </w:rPr>
        <w:t>本标准内容与现有国家标准和行业标准相比，区别在于，《GB/T 20865 免（少）耕施肥播种机》《GB/T 24675.2  保护性耕作机械  深松机》《GB/T 24675.6 保护性耕作机械 第6部分：秸秆粉碎还田机》《NY/T 1004 秸秆粉碎还田机 质量评价技术规范》《NY/T 1418 深松机械 质量评价技术规范》等分别对免（少）耕、深松、秸秆粉碎还田等单个作业环节的作业质量进行了规定，本标准根据北京的需求和特点，规范了免（少）耕、深松、秸秆粉碎还田三个环节的作业质量和作业质量监测要求，此外提出了监测终端技术要求。通过标准的实施，规范农机合作社、农机大户等农机使用主体的农机作业技术，对保护性耕作高质量实施具有现实的指导意义。</w:t>
      </w:r>
      <w:r>
        <w:rPr>
          <w:rFonts w:hint="eastAsia" w:ascii="仿宋_GB2312" w:eastAsia="仿宋_GB2312"/>
          <w:sz w:val="32"/>
        </w:rPr>
        <w:br w:type="textWrapping"/>
      </w:r>
      <w:r>
        <w:rPr>
          <w:rFonts w:hint="eastAsia" w:ascii="仿宋_GB2312" w:eastAsia="仿宋_GB2312"/>
          <w:sz w:val="32"/>
          <w:lang w:val="en-US" w:eastAsia="zh-CN"/>
        </w:rPr>
        <w:t xml:space="preserve">    </w:t>
      </w:r>
      <w:r>
        <w:rPr>
          <w:rFonts w:hint="eastAsia" w:ascii="仿宋_GB2312" w:eastAsia="仿宋_GB2312"/>
          <w:sz w:val="32"/>
        </w:rPr>
        <w:t>本标准根据北京地区农业生产要求，编制了保护性耕作作业技术规范，通过规范农机作业的质量要求及监测要求，使保护性耕作作业技术符合现有国家标准和行业标准，并适用北京地区。</w:t>
      </w:r>
    </w:p>
    <w:p w14:paraId="71620FF2">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作为推荐性标准或者强制性标准的建议及其理由</w:t>
      </w:r>
    </w:p>
    <w:p w14:paraId="7A246EAF">
      <w:pPr>
        <w:ind w:left="420" w:leftChars="200"/>
        <w:rPr>
          <w:rFonts w:hint="eastAsia" w:ascii="仿宋_GB2312" w:eastAsia="仿宋_GB2312"/>
          <w:sz w:val="32"/>
        </w:rPr>
      </w:pPr>
      <w:r>
        <w:rPr>
          <w:rFonts w:hint="eastAsia" w:ascii="仿宋_GB2312" w:eastAsia="仿宋_GB2312"/>
          <w:sz w:val="32"/>
        </w:rPr>
        <w:t>推荐性标准。</w:t>
      </w:r>
    </w:p>
    <w:p w14:paraId="102B340E">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强制性标准实施的风险点、风险程度、风险防控措施和预案</w:t>
      </w:r>
    </w:p>
    <w:p w14:paraId="48A35512">
      <w:pPr>
        <w:ind w:left="420" w:leftChars="200" w:firstLine="160" w:firstLineChars="50"/>
        <w:rPr>
          <w:rFonts w:hint="eastAsia" w:ascii="仿宋_GB2312" w:eastAsia="仿宋_GB2312"/>
          <w:sz w:val="32"/>
        </w:rPr>
      </w:pPr>
      <w:r>
        <w:rPr>
          <w:rFonts w:hint="eastAsia" w:ascii="仿宋_GB2312" w:eastAsia="仿宋_GB2312"/>
          <w:sz w:val="32"/>
        </w:rPr>
        <w:t>无。</w:t>
      </w:r>
    </w:p>
    <w:p w14:paraId="4AF9A3E3">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实施标准的措施(政策措施/宣贯培训/试点示范/监督检查/配套资金等)</w:t>
      </w:r>
    </w:p>
    <w:p w14:paraId="421B511D">
      <w:pPr>
        <w:ind w:firstLine="640" w:firstLineChars="200"/>
        <w:rPr>
          <w:rFonts w:ascii="仿宋_GB2312" w:eastAsia="仿宋_GB2312"/>
          <w:sz w:val="32"/>
        </w:rPr>
      </w:pPr>
      <w:r>
        <w:rPr>
          <w:rFonts w:hint="eastAsia" w:ascii="仿宋_GB2312" w:eastAsia="仿宋_GB2312"/>
          <w:sz w:val="32"/>
        </w:rPr>
        <w:t>政策措施。北京市</w:t>
      </w:r>
      <w:r>
        <w:rPr>
          <w:rFonts w:hint="eastAsia" w:ascii="仿宋_GB2312" w:eastAsia="仿宋_GB2312"/>
          <w:sz w:val="32"/>
          <w:lang w:eastAsia="zh-CN"/>
        </w:rPr>
        <w:t>农业农村局每年会根据相关政策和需求，修改</w:t>
      </w:r>
      <w:r>
        <w:rPr>
          <w:rFonts w:hint="eastAsia" w:ascii="仿宋_GB2312" w:eastAsia="仿宋_GB2312"/>
          <w:sz w:val="32"/>
        </w:rPr>
        <w:t>制定</w:t>
      </w:r>
      <w:r>
        <w:rPr>
          <w:rFonts w:hint="eastAsia" w:ascii="仿宋_GB2312" w:eastAsia="仿宋_GB2312"/>
          <w:sz w:val="32"/>
          <w:lang w:eastAsia="zh-CN"/>
        </w:rPr>
        <w:t>农机作业补贴相关实施方案</w:t>
      </w:r>
      <w:r>
        <w:rPr>
          <w:rFonts w:hint="eastAsia" w:ascii="仿宋_GB2312" w:eastAsia="仿宋_GB2312"/>
          <w:sz w:val="32"/>
        </w:rPr>
        <w:t>，</w:t>
      </w:r>
      <w:r>
        <w:rPr>
          <w:rFonts w:hint="eastAsia" w:ascii="仿宋_GB2312" w:eastAsia="仿宋_GB2312"/>
          <w:sz w:val="32"/>
          <w:lang w:eastAsia="zh-CN"/>
        </w:rPr>
        <w:t>推动农机作业补贴政策实施，北京市农机鉴定推广站做技术支撑</w:t>
      </w:r>
      <w:r>
        <w:rPr>
          <w:rFonts w:hint="eastAsia" w:ascii="仿宋_GB2312" w:eastAsia="仿宋_GB2312"/>
          <w:sz w:val="32"/>
        </w:rPr>
        <w:t>。</w:t>
      </w:r>
    </w:p>
    <w:p w14:paraId="6BBC19CE">
      <w:pPr>
        <w:ind w:firstLine="640" w:firstLineChars="200"/>
        <w:rPr>
          <w:rFonts w:ascii="仿宋_GB2312" w:eastAsia="仿宋_GB2312"/>
          <w:sz w:val="32"/>
        </w:rPr>
      </w:pPr>
      <w:r>
        <w:rPr>
          <w:rFonts w:hint="eastAsia" w:ascii="仿宋_GB2312" w:eastAsia="仿宋_GB2312"/>
          <w:sz w:val="32"/>
        </w:rPr>
        <w:t>宣贯培训。每年定期组织对农机合作社等作业主体农机手、农机大户开展培训，讲解保护性耕作技术要求、相关政策，普及保护性耕作技术。</w:t>
      </w:r>
    </w:p>
    <w:p w14:paraId="24EC3CFB">
      <w:pPr>
        <w:ind w:firstLine="640" w:firstLineChars="200"/>
        <w:rPr>
          <w:rFonts w:ascii="仿宋_GB2312" w:eastAsia="仿宋_GB2312"/>
          <w:sz w:val="32"/>
        </w:rPr>
      </w:pPr>
      <w:r>
        <w:rPr>
          <w:rFonts w:hint="eastAsia" w:ascii="仿宋_GB2312" w:eastAsia="仿宋_GB2312"/>
          <w:sz w:val="32"/>
        </w:rPr>
        <w:t>试点示范。在申报保护性耕作作业补贴的各个农业生产区，开展应用推广。</w:t>
      </w:r>
    </w:p>
    <w:p w14:paraId="1957A4DC">
      <w:pPr>
        <w:ind w:firstLine="640" w:firstLineChars="200"/>
        <w:rPr>
          <w:rFonts w:ascii="仿宋_GB2312" w:eastAsia="仿宋_GB2312"/>
          <w:sz w:val="32"/>
        </w:rPr>
      </w:pPr>
      <w:r>
        <w:rPr>
          <w:rFonts w:hint="eastAsia" w:ascii="仿宋_GB2312" w:eastAsia="仿宋_GB2312"/>
          <w:sz w:val="32"/>
        </w:rPr>
        <w:t>监督检查。保护性耕作作业补贴实施后，每年会组织企业对农机作业质量和面积统计精准率等情况进行第三方抽查核查，并形成报告。</w:t>
      </w:r>
    </w:p>
    <w:p w14:paraId="3BC85D2E">
      <w:pPr>
        <w:ind w:firstLine="640" w:firstLineChars="200"/>
        <w:rPr>
          <w:rFonts w:hint="eastAsia" w:ascii="黑体" w:hAnsi="黑体" w:eastAsia="黑体" w:cs="黑体"/>
          <w:sz w:val="32"/>
        </w:rPr>
      </w:pPr>
      <w:r>
        <w:rPr>
          <w:rFonts w:hint="eastAsia" w:ascii="仿宋_GB2312" w:eastAsia="仿宋_GB2312"/>
          <w:sz w:val="32"/>
        </w:rPr>
        <w:t>配套资金。</w:t>
      </w:r>
      <w:r>
        <w:rPr>
          <w:rFonts w:hint="eastAsia" w:ascii="仿宋_GB2312" w:eastAsia="仿宋_GB2312"/>
          <w:sz w:val="32"/>
          <w:lang w:eastAsia="zh-CN"/>
        </w:rPr>
        <w:t>北京市农机鉴定推广站通过申报农机信息化、智能化相关项目，推动标准实施</w:t>
      </w:r>
      <w:r>
        <w:rPr>
          <w:rFonts w:hint="eastAsia" w:ascii="仿宋_GB2312" w:eastAsia="仿宋_GB2312"/>
          <w:sz w:val="32"/>
        </w:rPr>
        <w:t>。</w:t>
      </w:r>
    </w:p>
    <w:p w14:paraId="75038DDD">
      <w:pPr>
        <w:numPr>
          <w:ilvl w:val="0"/>
          <w:numId w:val="2"/>
        </w:numPr>
        <w:tabs>
          <w:tab w:val="left" w:pos="630"/>
        </w:tabs>
        <w:ind w:left="0" w:leftChars="0" w:firstLine="420" w:firstLineChars="0"/>
        <w:rPr>
          <w:rFonts w:hint="eastAsia" w:ascii="黑体" w:hAnsi="黑体" w:eastAsia="黑体" w:cs="黑体"/>
          <w:sz w:val="32"/>
        </w:rPr>
      </w:pPr>
      <w:r>
        <w:rPr>
          <w:rFonts w:hint="eastAsia" w:ascii="黑体" w:hAnsi="黑体" w:eastAsia="黑体" w:cs="黑体"/>
          <w:sz w:val="32"/>
        </w:rPr>
        <w:t>其他应说明的事项</w:t>
      </w:r>
    </w:p>
    <w:p w14:paraId="47C964C7">
      <w:pPr>
        <w:ind w:firstLine="640" w:firstLineChars="200"/>
        <w:rPr>
          <w:rFonts w:ascii="仿宋_GB2312" w:eastAsia="仿宋_GB2312"/>
          <w:sz w:val="32"/>
        </w:rPr>
      </w:pPr>
      <w:r>
        <w:rPr>
          <w:rFonts w:hint="eastAsia" w:ascii="仿宋_GB2312" w:eastAsia="仿宋_GB2312"/>
          <w:sz w:val="32"/>
        </w:rPr>
        <w:t>本标准不涉及专利、独家垄断等情况。</w:t>
      </w:r>
    </w:p>
    <w:p w14:paraId="38C52BA1">
      <w:pPr>
        <w:pStyle w:val="2"/>
        <w:ind w:firstLine="640" w:firstLineChars="200"/>
        <w:rPr>
          <w:rFonts w:ascii="仿宋_GB2312" w:eastAsia="仿宋_GB2312"/>
          <w:sz w:val="32"/>
          <w:lang w:val="en"/>
        </w:rPr>
      </w:pPr>
      <w:r>
        <w:rPr>
          <w:rFonts w:hint="eastAsia" w:ascii="仿宋_GB2312" w:eastAsia="仿宋_GB2312"/>
          <w:sz w:val="32"/>
          <w:lang w:val="en"/>
        </w:rPr>
        <w:t>参考文献：</w:t>
      </w:r>
    </w:p>
    <w:p w14:paraId="577C0330">
      <w:pPr>
        <w:pStyle w:val="2"/>
        <w:rPr>
          <w:rFonts w:eastAsia="仿宋_GB2312"/>
          <w:b/>
          <w:bCs/>
          <w:lang w:val="en"/>
        </w:rPr>
      </w:pPr>
      <w:r>
        <w:rPr>
          <w:rFonts w:ascii="仿宋_GB2312" w:eastAsia="仿宋_GB2312"/>
          <w:sz w:val="32"/>
          <w:lang w:val="en"/>
        </w:rPr>
        <w:t>[1]陈兴和</w:t>
      </w:r>
      <w:r>
        <w:rPr>
          <w:rFonts w:hint="eastAsia" w:ascii="仿宋_GB2312" w:eastAsia="仿宋_GB2312"/>
          <w:sz w:val="32"/>
          <w:lang w:val="en"/>
        </w:rPr>
        <w:t>，</w:t>
      </w:r>
      <w:r>
        <w:rPr>
          <w:rFonts w:ascii="仿宋_GB2312" w:eastAsia="仿宋_GB2312"/>
          <w:sz w:val="32"/>
          <w:lang w:val="en"/>
        </w:rPr>
        <w:t>孙超</w:t>
      </w:r>
      <w:r>
        <w:rPr>
          <w:rFonts w:hint="eastAsia" w:ascii="仿宋_GB2312" w:eastAsia="仿宋_GB2312"/>
          <w:sz w:val="32"/>
          <w:lang w:val="en"/>
        </w:rPr>
        <w:t>，</w:t>
      </w:r>
      <w:r>
        <w:rPr>
          <w:rFonts w:ascii="仿宋_GB2312" w:eastAsia="仿宋_GB2312"/>
          <w:sz w:val="32"/>
          <w:lang w:val="en"/>
        </w:rPr>
        <w:t>刘辉</w:t>
      </w:r>
      <w:r>
        <w:rPr>
          <w:rFonts w:hint="eastAsia" w:ascii="仿宋_GB2312" w:eastAsia="仿宋_GB2312"/>
          <w:sz w:val="32"/>
          <w:lang w:val="en"/>
        </w:rPr>
        <w:t>，等</w:t>
      </w:r>
      <w:r>
        <w:rPr>
          <w:rFonts w:ascii="仿宋_GB2312" w:eastAsia="仿宋_GB2312"/>
          <w:sz w:val="32"/>
          <w:lang w:val="en"/>
        </w:rPr>
        <w:t>.农机深松作业远程监测装备发展现状及建议[J].农业工程. 2018,8(09):6-8.</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72E90"/>
    <w:multiLevelType w:val="singleLevel"/>
    <w:tmpl w:val="A2B72E90"/>
    <w:lvl w:ilvl="0" w:tentative="0">
      <w:start w:val="1"/>
      <w:numFmt w:val="chineseCounting"/>
      <w:suff w:val="nothing"/>
      <w:lvlText w:val="%1、"/>
      <w:lvlJc w:val="left"/>
      <w:pPr>
        <w:ind w:left="0" w:firstLine="420"/>
      </w:pPr>
      <w:rPr>
        <w:rFonts w:hint="eastAsia"/>
      </w:rPr>
    </w:lvl>
  </w:abstractNum>
  <w:abstractNum w:abstractNumId="1">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20"/>
      <w:suff w:val="nothing"/>
      <w:lvlText w:val="%1%2　"/>
      <w:lvlJc w:val="left"/>
      <w:pPr>
        <w:ind w:left="0" w:firstLine="0"/>
      </w:pPr>
      <w:rPr>
        <w:rFonts w:hint="eastAsia" w:ascii="黑体" w:eastAsia="黑体"/>
        <w:b w:val="0"/>
        <w:i w:val="0"/>
        <w:sz w:val="21"/>
      </w:rPr>
    </w:lvl>
    <w:lvl w:ilvl="2" w:tentative="0">
      <w:start w:val="1"/>
      <w:numFmt w:val="decimal"/>
      <w:pStyle w:val="2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ligatures w14:val="none"/>
        <w14:numForm w14:val="default"/>
        <w14:numSpacing w14:val="default"/>
      </w:rPr>
    </w:lvl>
    <w:lvl w:ilvl="3" w:tentative="0">
      <w:start w:val="1"/>
      <w:numFmt w:val="decimal"/>
      <w:pStyle w:val="2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852"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707E5C20"/>
    <w:rsid w:val="000227B2"/>
    <w:rsid w:val="00053E5F"/>
    <w:rsid w:val="000E2F62"/>
    <w:rsid w:val="000F7E69"/>
    <w:rsid w:val="00175DDA"/>
    <w:rsid w:val="00195AA3"/>
    <w:rsid w:val="001B5C7E"/>
    <w:rsid w:val="00286272"/>
    <w:rsid w:val="00350E8A"/>
    <w:rsid w:val="003C3DC5"/>
    <w:rsid w:val="003E21BB"/>
    <w:rsid w:val="004702AE"/>
    <w:rsid w:val="00476E0D"/>
    <w:rsid w:val="004E4BE4"/>
    <w:rsid w:val="00512BCC"/>
    <w:rsid w:val="005162D7"/>
    <w:rsid w:val="005263AD"/>
    <w:rsid w:val="00637AC2"/>
    <w:rsid w:val="00687CB3"/>
    <w:rsid w:val="006A7A7A"/>
    <w:rsid w:val="006C7373"/>
    <w:rsid w:val="00792238"/>
    <w:rsid w:val="007B0C51"/>
    <w:rsid w:val="008056FA"/>
    <w:rsid w:val="00905C22"/>
    <w:rsid w:val="00907BB8"/>
    <w:rsid w:val="009461F9"/>
    <w:rsid w:val="0098441E"/>
    <w:rsid w:val="0099323B"/>
    <w:rsid w:val="009D1149"/>
    <w:rsid w:val="009F380E"/>
    <w:rsid w:val="00A128DA"/>
    <w:rsid w:val="00B36E2F"/>
    <w:rsid w:val="00B6457A"/>
    <w:rsid w:val="00B7453C"/>
    <w:rsid w:val="00BA7F52"/>
    <w:rsid w:val="00C049C1"/>
    <w:rsid w:val="00C12291"/>
    <w:rsid w:val="00C43E7F"/>
    <w:rsid w:val="00CE7610"/>
    <w:rsid w:val="00D23D26"/>
    <w:rsid w:val="00D26100"/>
    <w:rsid w:val="00D422BD"/>
    <w:rsid w:val="00D77390"/>
    <w:rsid w:val="00D80A2C"/>
    <w:rsid w:val="00D87292"/>
    <w:rsid w:val="00E05DE2"/>
    <w:rsid w:val="00EB44F1"/>
    <w:rsid w:val="00EC3CB5"/>
    <w:rsid w:val="00EC6BED"/>
    <w:rsid w:val="00ED0B32"/>
    <w:rsid w:val="00EE6F53"/>
    <w:rsid w:val="00EF2B91"/>
    <w:rsid w:val="00F16731"/>
    <w:rsid w:val="00F915F7"/>
    <w:rsid w:val="00FA57DB"/>
    <w:rsid w:val="00FC3A49"/>
    <w:rsid w:val="00FD420D"/>
    <w:rsid w:val="00FE4D73"/>
    <w:rsid w:val="038BB141"/>
    <w:rsid w:val="10DD1AC9"/>
    <w:rsid w:val="11D1474A"/>
    <w:rsid w:val="1366238E"/>
    <w:rsid w:val="19EC507C"/>
    <w:rsid w:val="1A3D4756"/>
    <w:rsid w:val="1EF6A85D"/>
    <w:rsid w:val="1F2D0C8F"/>
    <w:rsid w:val="1F9DDBDA"/>
    <w:rsid w:val="1FDC6BAB"/>
    <w:rsid w:val="1FEFE8E8"/>
    <w:rsid w:val="1FFE8338"/>
    <w:rsid w:val="279F7888"/>
    <w:rsid w:val="2AB021AF"/>
    <w:rsid w:val="2D4BD2A7"/>
    <w:rsid w:val="2DBE3010"/>
    <w:rsid w:val="2DFFC0CA"/>
    <w:rsid w:val="2F2CE1A7"/>
    <w:rsid w:val="2F5F2A72"/>
    <w:rsid w:val="2FBF7FB8"/>
    <w:rsid w:val="2FDF8295"/>
    <w:rsid w:val="352E788D"/>
    <w:rsid w:val="358E2A11"/>
    <w:rsid w:val="35ED06D9"/>
    <w:rsid w:val="37EE88CF"/>
    <w:rsid w:val="39DCBAFB"/>
    <w:rsid w:val="3BCF4C4D"/>
    <w:rsid w:val="3CBA0719"/>
    <w:rsid w:val="3CDF3A5E"/>
    <w:rsid w:val="3D7FD210"/>
    <w:rsid w:val="3DAA5025"/>
    <w:rsid w:val="3EBE4B17"/>
    <w:rsid w:val="3F75F5F0"/>
    <w:rsid w:val="3FAE9A83"/>
    <w:rsid w:val="3FAF1D9D"/>
    <w:rsid w:val="3FBA424B"/>
    <w:rsid w:val="3FF62687"/>
    <w:rsid w:val="41DB93A9"/>
    <w:rsid w:val="42F71AD2"/>
    <w:rsid w:val="43F02E70"/>
    <w:rsid w:val="4A716BD1"/>
    <w:rsid w:val="4BFE2EB8"/>
    <w:rsid w:val="4CF56596"/>
    <w:rsid w:val="4F37904E"/>
    <w:rsid w:val="4FB5EB43"/>
    <w:rsid w:val="4FE71E64"/>
    <w:rsid w:val="514F3E5B"/>
    <w:rsid w:val="51FFF472"/>
    <w:rsid w:val="545F817E"/>
    <w:rsid w:val="59C24664"/>
    <w:rsid w:val="5BFFBB5F"/>
    <w:rsid w:val="5C481799"/>
    <w:rsid w:val="5CB79B8A"/>
    <w:rsid w:val="5CF01849"/>
    <w:rsid w:val="5DAD5125"/>
    <w:rsid w:val="5EF621EF"/>
    <w:rsid w:val="5EFB9938"/>
    <w:rsid w:val="5F5F34DB"/>
    <w:rsid w:val="5F7FA59E"/>
    <w:rsid w:val="5FDB047A"/>
    <w:rsid w:val="5FDE1A6E"/>
    <w:rsid w:val="5FE7F8AC"/>
    <w:rsid w:val="5FFAB5A3"/>
    <w:rsid w:val="5FFD82D2"/>
    <w:rsid w:val="5FFF5DD6"/>
    <w:rsid w:val="620F1E56"/>
    <w:rsid w:val="67195BFD"/>
    <w:rsid w:val="696F0D10"/>
    <w:rsid w:val="69E70AE6"/>
    <w:rsid w:val="6AFEAEC2"/>
    <w:rsid w:val="6D46A1AB"/>
    <w:rsid w:val="6DFE3B2C"/>
    <w:rsid w:val="6EAF1082"/>
    <w:rsid w:val="6EF3A9CA"/>
    <w:rsid w:val="6F3E23A0"/>
    <w:rsid w:val="6F6531E8"/>
    <w:rsid w:val="6F76CDAF"/>
    <w:rsid w:val="6F7F9E9D"/>
    <w:rsid w:val="6FBF5F19"/>
    <w:rsid w:val="6FC71357"/>
    <w:rsid w:val="6FCF4A6E"/>
    <w:rsid w:val="6FEDDFB3"/>
    <w:rsid w:val="6FFDEF33"/>
    <w:rsid w:val="6FFFA4E7"/>
    <w:rsid w:val="707E5C20"/>
    <w:rsid w:val="72DE0A8C"/>
    <w:rsid w:val="74AA19E7"/>
    <w:rsid w:val="74DB2652"/>
    <w:rsid w:val="74DF8EF5"/>
    <w:rsid w:val="76DE9856"/>
    <w:rsid w:val="77F960FA"/>
    <w:rsid w:val="77FFCDB6"/>
    <w:rsid w:val="7A7D1592"/>
    <w:rsid w:val="7AFE5AFE"/>
    <w:rsid w:val="7B1DDFCE"/>
    <w:rsid w:val="7B7F2090"/>
    <w:rsid w:val="7BAB696B"/>
    <w:rsid w:val="7BBF398C"/>
    <w:rsid w:val="7BDFB194"/>
    <w:rsid w:val="7BFD999E"/>
    <w:rsid w:val="7C6B3773"/>
    <w:rsid w:val="7DF3D55D"/>
    <w:rsid w:val="7DF7960A"/>
    <w:rsid w:val="7DFF6B9D"/>
    <w:rsid w:val="7DFFB216"/>
    <w:rsid w:val="7E6F787D"/>
    <w:rsid w:val="7E6FA8C1"/>
    <w:rsid w:val="7E7EBCCD"/>
    <w:rsid w:val="7EA5FA7C"/>
    <w:rsid w:val="7EEA7956"/>
    <w:rsid w:val="7F426F33"/>
    <w:rsid w:val="7FBD8414"/>
    <w:rsid w:val="7FBFD9FA"/>
    <w:rsid w:val="7FD3BCEC"/>
    <w:rsid w:val="7FD8E9B9"/>
    <w:rsid w:val="7FEFE8C6"/>
    <w:rsid w:val="7FFFCBEA"/>
    <w:rsid w:val="7FFFE31B"/>
    <w:rsid w:val="8FE78514"/>
    <w:rsid w:val="97F34247"/>
    <w:rsid w:val="97FF7DA2"/>
    <w:rsid w:val="997E9DC8"/>
    <w:rsid w:val="9BFF08F9"/>
    <w:rsid w:val="9EFFA5B2"/>
    <w:rsid w:val="AA73E397"/>
    <w:rsid w:val="AA9AB5D2"/>
    <w:rsid w:val="AF9DF4C3"/>
    <w:rsid w:val="AFFD95D8"/>
    <w:rsid w:val="B5F8DA1C"/>
    <w:rsid w:val="B6EFB62F"/>
    <w:rsid w:val="B6FFBE27"/>
    <w:rsid w:val="B7275782"/>
    <w:rsid w:val="B7DF121B"/>
    <w:rsid w:val="B7FABA0E"/>
    <w:rsid w:val="B7FFF1B3"/>
    <w:rsid w:val="BBDEC4C4"/>
    <w:rsid w:val="BBF82CFE"/>
    <w:rsid w:val="BC77E1B4"/>
    <w:rsid w:val="BF4B0492"/>
    <w:rsid w:val="BFCE8616"/>
    <w:rsid w:val="BFE90342"/>
    <w:rsid w:val="CBF56D9A"/>
    <w:rsid w:val="CEFF9013"/>
    <w:rsid w:val="D0FB2A9E"/>
    <w:rsid w:val="D5EFE8BA"/>
    <w:rsid w:val="DA9F7447"/>
    <w:rsid w:val="DBFF2A60"/>
    <w:rsid w:val="DE953D9A"/>
    <w:rsid w:val="DEEFB92D"/>
    <w:rsid w:val="DEF9000B"/>
    <w:rsid w:val="DEFBA862"/>
    <w:rsid w:val="DF77D303"/>
    <w:rsid w:val="DFFFE095"/>
    <w:rsid w:val="E3A490DE"/>
    <w:rsid w:val="E7F65EFB"/>
    <w:rsid w:val="EABA9FBB"/>
    <w:rsid w:val="EAFEFD88"/>
    <w:rsid w:val="EB5F7A1E"/>
    <w:rsid w:val="ED96FB3E"/>
    <w:rsid w:val="EDDF4E3A"/>
    <w:rsid w:val="EDFB891D"/>
    <w:rsid w:val="EEB46E50"/>
    <w:rsid w:val="EF5D5415"/>
    <w:rsid w:val="EF7B7D58"/>
    <w:rsid w:val="EF9F4B64"/>
    <w:rsid w:val="EF9FA7E6"/>
    <w:rsid w:val="EFA6808A"/>
    <w:rsid w:val="EFAD25DC"/>
    <w:rsid w:val="EFCFB168"/>
    <w:rsid w:val="EFDFE3FF"/>
    <w:rsid w:val="EFFB3F85"/>
    <w:rsid w:val="EFFD21BC"/>
    <w:rsid w:val="F1BBEF39"/>
    <w:rsid w:val="F3AB2893"/>
    <w:rsid w:val="F3DA0F24"/>
    <w:rsid w:val="F3EFA1BE"/>
    <w:rsid w:val="F3FEC56D"/>
    <w:rsid w:val="F51B4484"/>
    <w:rsid w:val="F556C0DE"/>
    <w:rsid w:val="F5B7C1E8"/>
    <w:rsid w:val="F7D68065"/>
    <w:rsid w:val="F89F9116"/>
    <w:rsid w:val="F99FAB06"/>
    <w:rsid w:val="FABB35CF"/>
    <w:rsid w:val="FADF1CD4"/>
    <w:rsid w:val="FB1B7435"/>
    <w:rsid w:val="FB1C13F2"/>
    <w:rsid w:val="FB3D5ACB"/>
    <w:rsid w:val="FB7B90E0"/>
    <w:rsid w:val="FB7D012D"/>
    <w:rsid w:val="FBAE1CD8"/>
    <w:rsid w:val="FBBA0557"/>
    <w:rsid w:val="FBFAE4AC"/>
    <w:rsid w:val="FBFD703B"/>
    <w:rsid w:val="FBFDD267"/>
    <w:rsid w:val="FC5F4E6B"/>
    <w:rsid w:val="FCBC9DFF"/>
    <w:rsid w:val="FDB958E5"/>
    <w:rsid w:val="FDBEAA55"/>
    <w:rsid w:val="FDF7E0E9"/>
    <w:rsid w:val="FDFB42CC"/>
    <w:rsid w:val="FDFF6193"/>
    <w:rsid w:val="FDFFC05A"/>
    <w:rsid w:val="FDFFF054"/>
    <w:rsid w:val="FE8399DB"/>
    <w:rsid w:val="FEE547DB"/>
    <w:rsid w:val="FEEF89F5"/>
    <w:rsid w:val="FEF7E420"/>
    <w:rsid w:val="FF737E48"/>
    <w:rsid w:val="FF7A21F5"/>
    <w:rsid w:val="FFAA1E63"/>
    <w:rsid w:val="FFB75CC0"/>
    <w:rsid w:val="FFBE0749"/>
    <w:rsid w:val="FFCACC31"/>
    <w:rsid w:val="FFDFABB8"/>
    <w:rsid w:val="FFFB3F6F"/>
    <w:rsid w:val="FFFD2D09"/>
    <w:rsid w:val="FFFD91C8"/>
    <w:rsid w:val="FFFE690E"/>
    <w:rsid w:val="FFFF5691"/>
    <w:rsid w:val="FFFF5822"/>
    <w:rsid w:val="FFFF6147"/>
    <w:rsid w:val="FFFF8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5">
    <w:name w:val="annotation text"/>
    <w:basedOn w:val="1"/>
    <w:qFormat/>
    <w:uiPriority w:val="0"/>
    <w:pPr>
      <w:jc w:val="left"/>
    </w:pPr>
  </w:style>
  <w:style w:type="paragraph" w:styleId="6">
    <w:name w:val="Body Text Indent"/>
    <w:basedOn w:val="1"/>
    <w:qFormat/>
    <w:uiPriority w:val="0"/>
    <w:pPr>
      <w:ind w:firstLine="420"/>
    </w:pPr>
    <w:rPr>
      <w:sz w:val="28"/>
    </w:r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styleId="16">
    <w:name w:val="annotation reference"/>
    <w:basedOn w:val="13"/>
    <w:semiHidden/>
    <w:unhideWhenUsed/>
    <w:qFormat/>
    <w:uiPriority w:val="0"/>
    <w:rPr>
      <w:sz w:val="21"/>
      <w:szCs w:val="21"/>
    </w:rPr>
  </w:style>
  <w:style w:type="character" w:customStyle="1" w:styleId="17">
    <w:name w:val="页眉 字符"/>
    <w:basedOn w:val="13"/>
    <w:link w:val="9"/>
    <w:qFormat/>
    <w:uiPriority w:val="0"/>
    <w:rPr>
      <w:kern w:val="2"/>
      <w:sz w:val="18"/>
      <w:szCs w:val="18"/>
    </w:rPr>
  </w:style>
  <w:style w:type="paragraph" w:customStyle="1" w:styleId="1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0">
    <w:name w:val="标准文件_章标题"/>
    <w:next w:val="18"/>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21">
    <w:name w:val="标准文件_一级条标题"/>
    <w:basedOn w:val="20"/>
    <w:next w:val="18"/>
    <w:qFormat/>
    <w:uiPriority w:val="0"/>
    <w:pPr>
      <w:numPr>
        <w:ilvl w:val="2"/>
      </w:numPr>
      <w:spacing w:before="50" w:beforeLines="50" w:after="50" w:afterLines="50"/>
      <w:outlineLvl w:val="1"/>
    </w:pPr>
  </w:style>
  <w:style w:type="paragraph" w:customStyle="1" w:styleId="22">
    <w:name w:val="标准文件_二级无标题"/>
    <w:basedOn w:val="23"/>
    <w:qFormat/>
    <w:uiPriority w:val="0"/>
    <w:pPr>
      <w:spacing w:before="0" w:beforeLines="0" w:after="0" w:afterLines="0"/>
      <w:outlineLvl w:val="9"/>
    </w:pPr>
    <w:rPr>
      <w:rFonts w:ascii="宋体" w:eastAsia="宋体"/>
    </w:rPr>
  </w:style>
  <w:style w:type="paragraph" w:customStyle="1" w:styleId="23">
    <w:name w:val="标准文件_二级条标题"/>
    <w:next w:val="18"/>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24">
    <w:name w:val="批注框文本 字符"/>
    <w:basedOn w:val="13"/>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4570</Words>
  <Characters>5066</Characters>
  <Lines>38</Lines>
  <Paragraphs>10</Paragraphs>
  <TotalTime>28</TotalTime>
  <ScaleCrop>false</ScaleCrop>
  <LinksUpToDate>false</LinksUpToDate>
  <CharactersWithSpaces>5125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2020-06-11T07:17:00Z</dcterms:created>
  <dc:creator>windowns</dc:creator>
  <cp:lastModifiedBy>娄高华</cp:lastModifiedBy>
  <cp:lastPrinted>2024-05-19T00:54:00Z</cp:lastPrinted>
  <dcterms:modified xsi:type="dcterms:W3CDTF">2024-06-21T07:02:38Z</dcterms:modified>
  <dc:title>《XXXX》北京市地方标准编制说明</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4994EF43BB5C47278589F2681B386808_12</vt:lpwstr>
  </property>
</Properties>
</file>