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97C8" w14:textId="77777777" w:rsidR="00063AEF" w:rsidRDefault="00000000">
      <w:pPr>
        <w:jc w:val="center"/>
        <w:rPr>
          <w:rFonts w:ascii="华文中宋" w:eastAsia="华文中宋" w:hAnsi="华文中宋"/>
          <w:sz w:val="44"/>
          <w:szCs w:val="44"/>
        </w:rPr>
      </w:pPr>
      <w:r>
        <w:rPr>
          <w:rFonts w:ascii="华文中宋" w:eastAsia="华文中宋" w:hAnsi="华文中宋" w:hint="eastAsia"/>
          <w:sz w:val="44"/>
          <w:szCs w:val="44"/>
        </w:rPr>
        <w:t>《兽药贮存管理规范》</w:t>
      </w:r>
    </w:p>
    <w:p w14:paraId="564A8ED9" w14:textId="77777777" w:rsidR="00063AEF" w:rsidRDefault="00000000">
      <w:pPr>
        <w:jc w:val="center"/>
        <w:rPr>
          <w:rFonts w:ascii="华文中宋" w:eastAsia="华文中宋" w:hAnsi="华文中宋"/>
          <w:sz w:val="44"/>
          <w:szCs w:val="44"/>
        </w:rPr>
      </w:pPr>
      <w:r>
        <w:rPr>
          <w:rFonts w:ascii="华文中宋" w:eastAsia="华文中宋" w:hAnsi="华文中宋" w:hint="eastAsia"/>
          <w:sz w:val="44"/>
          <w:szCs w:val="44"/>
        </w:rPr>
        <w:t>北京市地方标准编制说明</w:t>
      </w:r>
    </w:p>
    <w:p w14:paraId="055707B5" w14:textId="77777777" w:rsidR="00063AEF" w:rsidRDefault="00063AEF">
      <w:pPr>
        <w:rPr>
          <w:sz w:val="32"/>
        </w:rPr>
      </w:pPr>
    </w:p>
    <w:p w14:paraId="76CF5B4E" w14:textId="77777777" w:rsidR="00063AEF" w:rsidRDefault="00000000">
      <w:pPr>
        <w:numPr>
          <w:ilvl w:val="0"/>
          <w:numId w:val="3"/>
        </w:numPr>
        <w:ind w:left="0" w:firstLineChars="200" w:firstLine="640"/>
        <w:rPr>
          <w:rFonts w:ascii="黑体" w:eastAsia="黑体" w:hAnsi="黑体" w:cs="黑体"/>
          <w:sz w:val="32"/>
        </w:rPr>
      </w:pPr>
      <w:r>
        <w:rPr>
          <w:rFonts w:ascii="黑体" w:eastAsia="黑体" w:hAnsi="黑体" w:cs="黑体" w:hint="eastAsia"/>
          <w:sz w:val="32"/>
        </w:rPr>
        <w:t>任务来源，起草单位，协作单位，主要起草人。</w:t>
      </w:r>
    </w:p>
    <w:p w14:paraId="0BEEB427" w14:textId="77777777" w:rsidR="00063AEF" w:rsidRDefault="00000000">
      <w:pPr>
        <w:ind w:firstLineChars="200" w:firstLine="640"/>
        <w:rPr>
          <w:rStyle w:val="NormalCharacter"/>
          <w:rFonts w:ascii="仿宋_GB2312" w:eastAsia="仿宋_GB2312"/>
          <w:b/>
          <w:bCs/>
          <w:sz w:val="32"/>
        </w:rPr>
      </w:pPr>
      <w:r>
        <w:rPr>
          <w:rStyle w:val="NormalCharacter"/>
          <w:rFonts w:ascii="仿宋_GB2312" w:eastAsia="仿宋_GB2312"/>
          <w:sz w:val="32"/>
        </w:rPr>
        <w:t>（一）任务来源</w:t>
      </w:r>
    </w:p>
    <w:p w14:paraId="5F81F689" w14:textId="7C73F989" w:rsidR="00063AEF" w:rsidRDefault="00000000">
      <w:pPr>
        <w:ind w:firstLineChars="200" w:firstLine="640"/>
        <w:rPr>
          <w:rStyle w:val="NormalCharacter"/>
          <w:rFonts w:ascii="仿宋" w:eastAsia="仿宋" w:hAnsi="仿宋"/>
          <w:sz w:val="32"/>
          <w:szCs w:val="32"/>
        </w:rPr>
      </w:pPr>
      <w:r>
        <w:rPr>
          <w:rStyle w:val="NormalCharacter"/>
          <w:rFonts w:ascii="仿宋_GB2312" w:eastAsia="仿宋_GB2312"/>
          <w:sz w:val="32"/>
        </w:rPr>
        <w:t>202</w:t>
      </w:r>
      <w:r>
        <w:rPr>
          <w:rStyle w:val="NormalCharacter"/>
          <w:rFonts w:ascii="仿宋_GB2312" w:eastAsia="仿宋_GB2312" w:hint="eastAsia"/>
          <w:sz w:val="32"/>
        </w:rPr>
        <w:t>2</w:t>
      </w:r>
      <w:r>
        <w:rPr>
          <w:rStyle w:val="NormalCharacter"/>
          <w:rFonts w:ascii="仿宋_GB2312" w:eastAsia="仿宋_GB2312"/>
          <w:sz w:val="32"/>
        </w:rPr>
        <w:t>年，起草单位</w:t>
      </w:r>
      <w:r>
        <w:rPr>
          <w:rStyle w:val="NormalCharacter"/>
          <w:rFonts w:ascii="仿宋_GB2312" w:eastAsia="仿宋_GB2312" w:hint="eastAsia"/>
          <w:sz w:val="32"/>
        </w:rPr>
        <w:t>组织专家对</w:t>
      </w:r>
      <w:r>
        <w:rPr>
          <w:rStyle w:val="NormalCharacter"/>
          <w:rFonts w:ascii="仿宋_GB2312" w:eastAsia="仿宋_GB2312"/>
          <w:sz w:val="32"/>
        </w:rPr>
        <w:t>北京市地方标准《</w:t>
      </w:r>
      <w:r>
        <w:rPr>
          <w:rStyle w:val="NormalCharacter"/>
          <w:rFonts w:ascii="仿宋_GB2312" w:eastAsia="仿宋_GB2312" w:hint="eastAsia"/>
          <w:sz w:val="32"/>
        </w:rPr>
        <w:t>兽用药品贮存管理规范</w:t>
      </w:r>
      <w:r>
        <w:rPr>
          <w:rStyle w:val="NormalCharacter"/>
          <w:rFonts w:ascii="仿宋_GB2312" w:eastAsia="仿宋_GB2312"/>
          <w:sz w:val="32"/>
        </w:rPr>
        <w:t>》（</w:t>
      </w:r>
      <w:r>
        <w:rPr>
          <w:rStyle w:val="NormalCharacter"/>
          <w:rFonts w:ascii="仿宋_GB2312" w:eastAsia="仿宋_GB2312" w:hint="eastAsia"/>
          <w:sz w:val="32"/>
        </w:rPr>
        <w:t>DB11/T 790-2011</w:t>
      </w:r>
      <w:r>
        <w:rPr>
          <w:rStyle w:val="NormalCharacter"/>
          <w:rFonts w:ascii="仿宋_GB2312" w:eastAsia="仿宋_GB2312"/>
          <w:sz w:val="32"/>
        </w:rPr>
        <w:t>）</w:t>
      </w:r>
      <w:r>
        <w:rPr>
          <w:rStyle w:val="NormalCharacter"/>
          <w:rFonts w:ascii="仿宋_GB2312" w:eastAsia="仿宋_GB2312" w:hint="eastAsia"/>
          <w:sz w:val="32"/>
        </w:rPr>
        <w:t>进行</w:t>
      </w:r>
      <w:r>
        <w:rPr>
          <w:rStyle w:val="NormalCharacter"/>
          <w:rFonts w:ascii="仿宋_GB2312" w:eastAsia="仿宋_GB2312"/>
          <w:sz w:val="32"/>
        </w:rPr>
        <w:t>了复审，</w:t>
      </w:r>
      <w:r>
        <w:rPr>
          <w:rStyle w:val="NormalCharacter"/>
          <w:rFonts w:ascii="仿宋_GB2312" w:eastAsia="仿宋_GB2312" w:hint="eastAsia"/>
          <w:sz w:val="32"/>
        </w:rPr>
        <w:t>专家认为该</w:t>
      </w:r>
      <w:r>
        <w:rPr>
          <w:rStyle w:val="NormalCharacter"/>
          <w:rFonts w:ascii="仿宋_GB2312" w:eastAsia="仿宋_GB2312"/>
          <w:sz w:val="32"/>
        </w:rPr>
        <w:t>标准颁布实施已超过10年，原有</w:t>
      </w:r>
      <w:r>
        <w:rPr>
          <w:rStyle w:val="NormalCharacter"/>
          <w:rFonts w:ascii="仿宋_GB2312" w:eastAsia="仿宋_GB2312" w:hint="eastAsia"/>
          <w:sz w:val="32"/>
        </w:rPr>
        <w:t>部分条款</w:t>
      </w:r>
      <w:r>
        <w:rPr>
          <w:rStyle w:val="NormalCharacter"/>
          <w:rFonts w:ascii="仿宋_GB2312" w:eastAsia="仿宋_GB2312"/>
          <w:sz w:val="32"/>
        </w:rPr>
        <w:t>已不再</w:t>
      </w:r>
      <w:r>
        <w:rPr>
          <w:rStyle w:val="NormalCharacter"/>
          <w:rFonts w:ascii="仿宋_GB2312" w:eastAsia="仿宋_GB2312" w:hint="eastAsia"/>
          <w:sz w:val="32"/>
        </w:rPr>
        <w:t>适</w:t>
      </w:r>
      <w:r>
        <w:rPr>
          <w:rStyle w:val="NormalCharacter"/>
          <w:rFonts w:ascii="仿宋_GB2312" w:eastAsia="仿宋_GB2312"/>
          <w:sz w:val="32"/>
        </w:rPr>
        <w:t>用</w:t>
      </w:r>
      <w:r>
        <w:rPr>
          <w:rStyle w:val="NormalCharacter"/>
          <w:rFonts w:ascii="仿宋_GB2312" w:eastAsia="仿宋_GB2312" w:hint="eastAsia"/>
          <w:sz w:val="32"/>
        </w:rPr>
        <w:t>，需替代更新</w:t>
      </w:r>
      <w:r>
        <w:rPr>
          <w:rStyle w:val="NormalCharacter"/>
          <w:rFonts w:ascii="仿宋_GB2312" w:eastAsia="仿宋_GB2312"/>
          <w:sz w:val="32"/>
        </w:rPr>
        <w:t>，建议修订此标准</w:t>
      </w:r>
      <w:r>
        <w:rPr>
          <w:rStyle w:val="NormalCharacter"/>
          <w:rFonts w:ascii="仿宋_GB2312" w:eastAsia="仿宋_GB2312" w:hint="eastAsia"/>
          <w:sz w:val="32"/>
        </w:rPr>
        <w:t>。</w:t>
      </w:r>
      <w:r>
        <w:rPr>
          <w:rStyle w:val="NormalCharacter"/>
          <w:rFonts w:ascii="仿宋_GB2312" w:eastAsia="仿宋_GB2312"/>
          <w:sz w:val="32"/>
        </w:rPr>
        <w:t>起草单位根据复审</w:t>
      </w:r>
      <w:r>
        <w:rPr>
          <w:rStyle w:val="NormalCharacter"/>
          <w:rFonts w:ascii="仿宋_GB2312" w:eastAsia="仿宋_GB2312" w:hint="eastAsia"/>
          <w:sz w:val="32"/>
        </w:rPr>
        <w:t>意见</w:t>
      </w:r>
      <w:r>
        <w:rPr>
          <w:rStyle w:val="NormalCharacter"/>
          <w:rFonts w:ascii="仿宋_GB2312" w:eastAsia="仿宋_GB2312"/>
          <w:sz w:val="32"/>
        </w:rPr>
        <w:t>，向北京市农业标准化技术委员会</w:t>
      </w:r>
      <w:r>
        <w:rPr>
          <w:rStyle w:val="NormalCharacter"/>
          <w:rFonts w:ascii="仿宋_GB2312" w:eastAsia="仿宋_GB2312" w:hint="eastAsia"/>
          <w:sz w:val="32"/>
        </w:rPr>
        <w:t>提交了</w:t>
      </w:r>
      <w:r>
        <w:rPr>
          <w:rStyle w:val="NormalCharacter"/>
          <w:rFonts w:ascii="仿宋_GB2312" w:eastAsia="仿宋_GB2312"/>
          <w:sz w:val="32"/>
        </w:rPr>
        <w:t>修订</w:t>
      </w:r>
      <w:r>
        <w:rPr>
          <w:rStyle w:val="NormalCharacter"/>
          <w:rFonts w:ascii="仿宋_GB2312" w:eastAsia="仿宋_GB2312" w:hint="eastAsia"/>
          <w:sz w:val="32"/>
        </w:rPr>
        <w:t>申请</w:t>
      </w:r>
      <w:r>
        <w:rPr>
          <w:rStyle w:val="NormalCharacter"/>
          <w:rFonts w:ascii="仿宋_GB2312" w:eastAsia="仿宋_GB2312"/>
          <w:sz w:val="32"/>
        </w:rPr>
        <w:t>，并报</w:t>
      </w:r>
      <w:r>
        <w:rPr>
          <w:rStyle w:val="NormalCharacter"/>
          <w:rFonts w:ascii="仿宋_GB2312" w:eastAsia="仿宋_GB2312" w:hint="eastAsia"/>
          <w:sz w:val="32"/>
        </w:rPr>
        <w:t>送</w:t>
      </w:r>
      <w:r>
        <w:rPr>
          <w:rStyle w:val="NormalCharacter"/>
          <w:rFonts w:ascii="仿宋_GB2312" w:eastAsia="仿宋_GB2312"/>
          <w:sz w:val="32"/>
        </w:rPr>
        <w:t>北京市农业</w:t>
      </w:r>
      <w:r>
        <w:rPr>
          <w:rStyle w:val="NormalCharacter"/>
          <w:rFonts w:ascii="仿宋_GB2312" w:eastAsia="仿宋_GB2312" w:hint="eastAsia"/>
          <w:sz w:val="32"/>
        </w:rPr>
        <w:t>农村局及北京市市场监督管理局批准立项。根据北京市市场监督管理局关于印发《2023年北京市地方标准修订项目计划（第一批）》的通知</w:t>
      </w:r>
      <w:r w:rsidRPr="00C16CAC">
        <w:rPr>
          <w:rStyle w:val="NormalCharacter"/>
          <w:rFonts w:hint="eastAsia"/>
          <w:sz w:val="32"/>
        </w:rPr>
        <w:t>（京市监函〔</w:t>
      </w:r>
      <w:r w:rsidRPr="00C16CAC">
        <w:rPr>
          <w:rStyle w:val="NormalCharacter"/>
          <w:sz w:val="32"/>
        </w:rPr>
        <w:t>2023</w:t>
      </w:r>
      <w:r w:rsidRPr="00C16CAC">
        <w:rPr>
          <w:rStyle w:val="NormalCharacter"/>
          <w:rFonts w:hint="eastAsia"/>
          <w:sz w:val="32"/>
        </w:rPr>
        <w:t>〕</w:t>
      </w:r>
      <w:r w:rsidRPr="00C16CAC">
        <w:rPr>
          <w:rStyle w:val="NormalCharacter"/>
          <w:sz w:val="32"/>
        </w:rPr>
        <w:t>5</w:t>
      </w:r>
      <w:r w:rsidRPr="00C16CAC">
        <w:rPr>
          <w:rStyle w:val="NormalCharacter"/>
          <w:rFonts w:hint="eastAsia"/>
          <w:sz w:val="32"/>
        </w:rPr>
        <w:t>号）</w:t>
      </w:r>
      <w:r>
        <w:rPr>
          <w:rStyle w:val="NormalCharacter"/>
          <w:rFonts w:ascii="仿宋_GB2312" w:eastAsia="仿宋_GB2312" w:hint="eastAsia"/>
          <w:sz w:val="32"/>
        </w:rPr>
        <w:t>要求，</w:t>
      </w:r>
      <w:r>
        <w:rPr>
          <w:rStyle w:val="NormalCharacter"/>
          <w:rFonts w:ascii="仿宋_GB2312" w:eastAsia="仿宋_GB2312"/>
          <w:sz w:val="32"/>
        </w:rPr>
        <w:t>该标准正式列入</w:t>
      </w:r>
      <w:r>
        <w:rPr>
          <w:rStyle w:val="NormalCharacter"/>
          <w:rFonts w:ascii="仿宋_GB2312" w:eastAsia="仿宋_GB2312" w:hint="eastAsia"/>
          <w:sz w:val="32"/>
        </w:rPr>
        <w:t>《</w:t>
      </w:r>
      <w:r>
        <w:rPr>
          <w:rStyle w:val="NormalCharacter"/>
          <w:rFonts w:ascii="仿宋_GB2312" w:eastAsia="仿宋_GB2312"/>
          <w:sz w:val="32"/>
        </w:rPr>
        <w:t>202</w:t>
      </w:r>
      <w:r>
        <w:rPr>
          <w:rStyle w:val="NormalCharacter"/>
          <w:rFonts w:ascii="仿宋_GB2312" w:eastAsia="仿宋_GB2312" w:hint="eastAsia"/>
          <w:sz w:val="32"/>
        </w:rPr>
        <w:t>3</w:t>
      </w:r>
      <w:r>
        <w:rPr>
          <w:rStyle w:val="NormalCharacter"/>
          <w:rFonts w:ascii="仿宋_GB2312" w:eastAsia="仿宋_GB2312"/>
          <w:sz w:val="32"/>
        </w:rPr>
        <w:t>年北京市地方标准制修订项目计划</w:t>
      </w:r>
      <w:r>
        <w:rPr>
          <w:rStyle w:val="NormalCharacter"/>
          <w:rFonts w:ascii="仿宋_GB2312" w:eastAsia="仿宋_GB2312" w:hint="eastAsia"/>
          <w:sz w:val="32"/>
        </w:rPr>
        <w:t>》</w:t>
      </w:r>
      <w:r>
        <w:rPr>
          <w:rStyle w:val="NormalCharacter"/>
          <w:rFonts w:ascii="仿宋" w:eastAsia="仿宋" w:hAnsi="仿宋" w:hint="eastAsia"/>
          <w:sz w:val="32"/>
          <w:szCs w:val="32"/>
        </w:rPr>
        <w:t>，</w:t>
      </w:r>
      <w:r w:rsidRPr="00C16CAC">
        <w:rPr>
          <w:rStyle w:val="NormalCharacter"/>
          <w:rFonts w:ascii="仿宋_GB2312" w:eastAsia="仿宋_GB2312" w:hint="eastAsia"/>
          <w:sz w:val="32"/>
        </w:rPr>
        <w:t>项目编号为</w:t>
      </w:r>
      <w:r w:rsidRPr="00C16CAC">
        <w:rPr>
          <w:rStyle w:val="NormalCharacter"/>
          <w:rFonts w:ascii="仿宋_GB2312" w:eastAsia="仿宋_GB2312"/>
          <w:sz w:val="32"/>
        </w:rPr>
        <w:t>20231019</w:t>
      </w:r>
    </w:p>
    <w:p w14:paraId="17DBD2B8"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sz w:val="32"/>
        </w:rPr>
        <w:t>（二）起草单位</w:t>
      </w:r>
    </w:p>
    <w:p w14:paraId="672F945D"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sz w:val="32"/>
        </w:rPr>
        <w:t>北京市动物疫病预防控制中心</w:t>
      </w:r>
      <w:r>
        <w:rPr>
          <w:rStyle w:val="NormalCharacter"/>
          <w:rFonts w:ascii="仿宋_GB2312" w:eastAsia="仿宋_GB2312" w:hint="eastAsia"/>
          <w:sz w:val="32"/>
        </w:rPr>
        <w:t>。</w:t>
      </w:r>
    </w:p>
    <w:p w14:paraId="275BA47B" w14:textId="77777777" w:rsidR="00063AEF" w:rsidRDefault="00000000">
      <w:pPr>
        <w:numPr>
          <w:ilvl w:val="0"/>
          <w:numId w:val="4"/>
        </w:numPr>
        <w:ind w:firstLineChars="200" w:firstLine="640"/>
        <w:rPr>
          <w:rStyle w:val="NormalCharacter"/>
          <w:rFonts w:ascii="仿宋_GB2312" w:eastAsia="仿宋_GB2312"/>
          <w:sz w:val="32"/>
        </w:rPr>
      </w:pPr>
      <w:r>
        <w:rPr>
          <w:rStyle w:val="NormalCharacter"/>
          <w:rFonts w:ascii="仿宋_GB2312" w:eastAsia="仿宋_GB2312"/>
          <w:sz w:val="32"/>
        </w:rPr>
        <w:t>主要起草人</w:t>
      </w:r>
    </w:p>
    <w:p w14:paraId="01C1BD5B" w14:textId="77777777" w:rsidR="00063AEF" w:rsidRDefault="00063AEF">
      <w:pPr>
        <w:rPr>
          <w:rStyle w:val="NormalCharacter"/>
          <w:rFonts w:ascii="仿宋_GB2312" w:eastAsia="仿宋_GB2312"/>
          <w:sz w:val="32"/>
        </w:rPr>
      </w:pPr>
    </w:p>
    <w:p w14:paraId="008A0828" w14:textId="77777777" w:rsidR="00063AEF" w:rsidRDefault="00000000">
      <w:pPr>
        <w:numPr>
          <w:ilvl w:val="0"/>
          <w:numId w:val="3"/>
        </w:numPr>
        <w:ind w:left="0" w:firstLineChars="200" w:firstLine="640"/>
        <w:rPr>
          <w:rFonts w:ascii="黑体" w:eastAsia="黑体" w:hAnsi="黑体" w:cs="黑体"/>
          <w:sz w:val="32"/>
        </w:rPr>
      </w:pPr>
      <w:r>
        <w:rPr>
          <w:rFonts w:ascii="黑体" w:eastAsia="黑体" w:hAnsi="黑体" w:cs="黑体" w:hint="eastAsia"/>
          <w:sz w:val="32"/>
        </w:rPr>
        <w:t>制定标准的必要性和意义。</w:t>
      </w:r>
    </w:p>
    <w:p w14:paraId="3127876C"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（一）现状</w:t>
      </w:r>
    </w:p>
    <w:p w14:paraId="54830B9C"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lastRenderedPageBreak/>
        <w:t>畜牧业经济对于推动地区经济发展、保障首都人民菜篮子具有积极作用。就养殖业而言，虽全国范围内推进兽用抗菌药使用减量化行动，以保障食品和公共卫生安全，但现阶段兽药的使用仍不可避免，养殖场户通常会存放部分常用兽药。兽药的正确使用和贮存也为畜牧业健康稳定发展发挥了保障作用。然而，从目前的现状来看，兽药的贮存过程存在着较多问题，如长期储存、高温、混合和受潮等现象，都可能导致兽药效率下降、失效，甚至引发兽药中毒等致命伤害，对畜禽养殖产生消极影响。对此，我们要进一步加强兽药使用企业或部门兽药的贮存管理，保证兽药质量，以促进养殖业健康发展。</w:t>
      </w:r>
    </w:p>
    <w:p w14:paraId="42613431"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 xml:space="preserve">（二）必要性  </w:t>
      </w:r>
    </w:p>
    <w:p w14:paraId="261C1172"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1.兽药贮存中存在的问题</w:t>
      </w:r>
      <w:r>
        <w:rPr>
          <w:rStyle w:val="NormalCharacter"/>
          <w:rFonts w:ascii="仿宋_GB2312" w:eastAsia="仿宋_GB2312"/>
          <w:sz w:val="32"/>
        </w:rPr>
        <w:t xml:space="preserve"> </w:t>
      </w:r>
    </w:p>
    <w:p w14:paraId="1DD60D7F"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（1）忽视安全管理</w:t>
      </w:r>
    </w:p>
    <w:p w14:paraId="37D074C3"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兽药使用企业或部门在贮存环节往往容易忽视安全生产管理，库房、设施设备、人员等不能完全达到</w:t>
      </w:r>
      <w:r>
        <w:rPr>
          <w:rStyle w:val="NormalCharacter"/>
          <w:rFonts w:ascii="仿宋_GB2312" w:eastAsia="仿宋_GB2312"/>
          <w:sz w:val="32"/>
        </w:rPr>
        <w:t>《兽药管理</w:t>
      </w:r>
      <w:r>
        <w:rPr>
          <w:rStyle w:val="NormalCharacter"/>
          <w:rFonts w:ascii="仿宋_GB2312" w:eastAsia="仿宋_GB2312" w:hint="eastAsia"/>
          <w:sz w:val="32"/>
        </w:rPr>
        <w:t>条例</w:t>
      </w:r>
      <w:r>
        <w:rPr>
          <w:rStyle w:val="NormalCharacter"/>
          <w:rFonts w:ascii="仿宋_GB2312" w:eastAsia="仿宋_GB2312"/>
          <w:sz w:val="32"/>
        </w:rPr>
        <w:t>》要求</w:t>
      </w:r>
      <w:r>
        <w:rPr>
          <w:rStyle w:val="NormalCharacter"/>
          <w:rFonts w:ascii="仿宋_GB2312" w:eastAsia="仿宋_GB2312" w:hint="eastAsia"/>
          <w:sz w:val="32"/>
        </w:rPr>
        <w:t>，从而引发</w:t>
      </w:r>
      <w:r>
        <w:rPr>
          <w:rStyle w:val="NormalCharacter"/>
          <w:rFonts w:ascii="仿宋_GB2312" w:eastAsia="仿宋_GB2312"/>
          <w:sz w:val="32"/>
        </w:rPr>
        <w:t>各类安全事故。</w:t>
      </w:r>
    </w:p>
    <w:p w14:paraId="531C3C73" w14:textId="77777777" w:rsidR="00063AEF" w:rsidRDefault="00000000">
      <w:pPr>
        <w:numPr>
          <w:ilvl w:val="0"/>
          <w:numId w:val="5"/>
        </w:numPr>
        <w:ind w:firstLineChars="200" w:firstLine="640"/>
        <w:rPr>
          <w:rStyle w:val="NormalCharacter"/>
          <w:rFonts w:ascii="仿宋_GB2312" w:eastAsia="仿宋_GB2312"/>
          <w:sz w:val="32"/>
        </w:rPr>
      </w:pPr>
      <w:r>
        <w:rPr>
          <w:rStyle w:val="NormalCharacter"/>
          <w:rFonts w:ascii="仿宋_GB2312" w:eastAsia="仿宋_GB2312" w:hint="eastAsia"/>
          <w:sz w:val="32"/>
        </w:rPr>
        <w:t>贮存条件不达标</w:t>
      </w:r>
    </w:p>
    <w:p w14:paraId="7D47D8EC" w14:textId="77777777" w:rsidR="00063AEF" w:rsidRDefault="00000000">
      <w:pPr>
        <w:widowControl/>
        <w:jc w:val="left"/>
        <w:rPr>
          <w:rStyle w:val="NormalCharacter"/>
          <w:rFonts w:ascii="仿宋_GB2312" w:eastAsia="仿宋_GB2312"/>
          <w:sz w:val="32"/>
        </w:rPr>
      </w:pPr>
      <w:r>
        <w:rPr>
          <w:rStyle w:val="NormalCharacter"/>
          <w:rFonts w:ascii="仿宋_GB2312" w:eastAsia="仿宋_GB2312" w:hint="eastAsia"/>
          <w:sz w:val="32"/>
        </w:rPr>
        <w:t>兽药贮存时，防潮处理不当，引起兽药发霉、粘结、变色、松散、变形、异味等，完全失去使用价值。部分兽药吸收空气中的水分，并慢慢分解成水杨酸和醋酸，产生强烈的酸味，对畜禽胃的刺激性大大增加。此外，空气中的</w:t>
      </w:r>
      <w:r>
        <w:rPr>
          <w:rStyle w:val="NormalCharacter"/>
          <w:rFonts w:ascii="仿宋_GB2312" w:eastAsia="仿宋_GB2312" w:hint="eastAsia"/>
          <w:sz w:val="32"/>
        </w:rPr>
        <w:lastRenderedPageBreak/>
        <w:t>氧气也可使药物氧化变质；避光处理不当，日光中所含的紫外线，易对药物产生催化作用，加速其氧化、分解等，导致其变质。如维他命、抗生素类药物，遇光后会使颜色加深，药效降低，甚至变成有害有毒物质；贮存温度不当，部分兽药在高温或低温下会引发变质。如动物疫苗，贮存温度过高或过低，都会使其效果不可逆转。</w:t>
      </w:r>
    </w:p>
    <w:p w14:paraId="4859CB12"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2.强化兽药管理</w:t>
      </w:r>
      <w:r>
        <w:rPr>
          <w:rStyle w:val="NormalCharacter"/>
          <w:rFonts w:ascii="仿宋_GB2312" w:eastAsia="仿宋_GB2312"/>
          <w:sz w:val="32"/>
        </w:rPr>
        <w:t xml:space="preserve"> </w:t>
      </w:r>
    </w:p>
    <w:p w14:paraId="37D05CC3"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1）加大技术指导。良好的管理是规范兽药相关企业的重要方式，一直以来，药物管理部门致力于强化市场监督，全力加强兽药经营与使用的科学合理性，但受到管理范围较广、难度较大等因素影响，其监管力度受到了影响。为了改变现状，提升兽药管理效果，相关部门应从标准建立上加强对兽药相关企业的技术指导，以规范生产管理行为，强化管理效果。</w:t>
      </w:r>
    </w:p>
    <w:p w14:paraId="4F837BE8"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2）提升兽药使用企业兽药管理人员综合素质。基于目前兽药使用企业相关人员存在兽药相关知识储备不足的情况，在一定程度上影响了兽药管理效果的发挥。对此，在强化兽药管理过程中，我们应该对兽药使用企业相关人员的素质进行明确要求，让企业充分意识到技术水平提升对经济效益保障的积极作用。</w:t>
      </w:r>
      <w:r>
        <w:rPr>
          <w:rStyle w:val="NormalCharacter"/>
          <w:rFonts w:ascii="仿宋_GB2312" w:eastAsia="仿宋_GB2312"/>
          <w:sz w:val="32"/>
        </w:rPr>
        <w:t xml:space="preserve"> </w:t>
      </w:r>
    </w:p>
    <w:p w14:paraId="02354FAC"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（3）通过宣贯强化企业认识。基于目前兽药贮存中存在的较多不合理现象，相关部门应有针对性的通过系列标准宣</w:t>
      </w:r>
      <w:r>
        <w:rPr>
          <w:rStyle w:val="NormalCharacter"/>
          <w:rFonts w:ascii="仿宋_GB2312" w:eastAsia="仿宋_GB2312" w:hint="eastAsia"/>
          <w:sz w:val="32"/>
        </w:rPr>
        <w:lastRenderedPageBreak/>
        <w:t>贯的方式，加强相关人员对兽药贮存管理对维护畜牧养殖业发展重要意义的认识，从根本上强化相关人员的思想认识，进而为兽药管理工作的顺利开展提供便利。</w:t>
      </w:r>
    </w:p>
    <w:p w14:paraId="523E2B89"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3. 标准存在问题</w:t>
      </w:r>
    </w:p>
    <w:p w14:paraId="36190D80" w14:textId="77777777" w:rsidR="00063AEF" w:rsidRPr="00C16CAC" w:rsidRDefault="00000000">
      <w:pPr>
        <w:ind w:firstLineChars="200" w:firstLine="640"/>
        <w:rPr>
          <w:rFonts w:ascii="仿宋_GB2312" w:eastAsia="仿宋_GB2312"/>
          <w:sz w:val="32"/>
        </w:rPr>
      </w:pPr>
      <w:r>
        <w:rPr>
          <w:rStyle w:val="NormalCharacter"/>
          <w:rFonts w:ascii="仿宋_GB2312" w:eastAsia="仿宋_GB2312" w:hint="eastAsia"/>
          <w:sz w:val="32"/>
        </w:rPr>
        <w:t>本标准属修订标准，在北京已执行推广了10余年，具有较强实用性和广泛的推广利用空间。全市千余家养殖场及500余家动物诊疗机构，均涉及兽药贮存管理。但随着《兽药管理条例》《</w:t>
      </w:r>
      <w:r>
        <w:rPr>
          <w:rStyle w:val="NormalCharacter"/>
          <w:rFonts w:ascii="仿宋_GB2312" w:eastAsia="仿宋_GB2312" w:hAnsi="宋体" w:hint="eastAsia"/>
          <w:sz w:val="32"/>
          <w:szCs w:val="32"/>
        </w:rPr>
        <w:t>兽药经营质量管理规范》的修订，在法律层面对兽药贮存管理提出了更高的要求，原有标准的部分条款已不再适用或被新的条件所替代。诸如</w:t>
      </w:r>
      <w:r>
        <w:rPr>
          <w:rStyle w:val="NormalCharacter"/>
          <w:rFonts w:ascii="仿宋_GB2312" w:eastAsia="仿宋_GB2312" w:hint="eastAsia"/>
          <w:sz w:val="32"/>
        </w:rPr>
        <w:t>《</w:t>
      </w:r>
      <w:r>
        <w:rPr>
          <w:rStyle w:val="NormalCharacter"/>
          <w:rFonts w:ascii="仿宋_GB2312" w:eastAsia="仿宋_GB2312" w:hAnsi="宋体" w:hint="eastAsia"/>
          <w:sz w:val="32"/>
          <w:szCs w:val="32"/>
        </w:rPr>
        <w:t>兽药经营质量管理规范》对兽药经营企业贮存管理提出了更为具体的要求，该标准已无法满足其相应的条件，故将该部分剔除，从而更加精准的对应用企业相关要求做出规定。随着智慧农业的发展，该标准从长远发展的角度，提出了建立电子化信息系统等要求，确保兽药的可追溯性。</w:t>
      </w:r>
    </w:p>
    <w:p w14:paraId="7A27B319"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（三）意义</w:t>
      </w:r>
    </w:p>
    <w:p w14:paraId="336EFDF5"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本标准修订后，将进一步提升实际可操作性。标准的执行和推广可更好的服务于动物防疫工作，直接为畜牧业生产保驾护航，减少兽药经营者与养殖者的经济损失，对促进农民增收具有重要作用。同时，兽医公共卫生安全、生物安全、食品安全是全社会关注的焦点，得到老百姓的关注，对于推动减抗行动，维护社会稳定具有重要意义。</w:t>
      </w:r>
    </w:p>
    <w:p w14:paraId="441173C6" w14:textId="77777777" w:rsidR="00063AEF" w:rsidRDefault="00000000">
      <w:pPr>
        <w:numPr>
          <w:ilvl w:val="0"/>
          <w:numId w:val="3"/>
        </w:numPr>
        <w:ind w:left="0" w:firstLineChars="200" w:firstLine="640"/>
        <w:rPr>
          <w:rFonts w:ascii="黑体" w:eastAsia="黑体" w:hAnsi="黑体" w:cs="黑体"/>
          <w:sz w:val="32"/>
        </w:rPr>
      </w:pPr>
      <w:r>
        <w:rPr>
          <w:rFonts w:ascii="黑体" w:eastAsia="黑体" w:hAnsi="黑体" w:cs="黑体" w:hint="eastAsia"/>
          <w:sz w:val="32"/>
        </w:rPr>
        <w:lastRenderedPageBreak/>
        <w:t>主要工作过程。</w:t>
      </w:r>
    </w:p>
    <w:p w14:paraId="6C934F9D" w14:textId="77777777" w:rsidR="00063AEF" w:rsidRDefault="00000000">
      <w:pPr>
        <w:spacing w:line="560" w:lineRule="exact"/>
        <w:ind w:firstLineChars="200" w:firstLine="640"/>
        <w:rPr>
          <w:rStyle w:val="NormalCharacter"/>
          <w:rFonts w:ascii="仿宋_GB2312" w:eastAsia="仿宋_GB2312"/>
          <w:sz w:val="32"/>
        </w:rPr>
      </w:pPr>
      <w:r>
        <w:rPr>
          <w:rStyle w:val="NormalCharacter"/>
          <w:rFonts w:ascii="仿宋_GB2312" w:eastAsia="仿宋_GB2312" w:hint="eastAsia"/>
          <w:sz w:val="32"/>
        </w:rPr>
        <w:t>1、2022年6月-2022年10月，标准开题阶段。2022年6月，标准起草单位根据北京市农业标准化技术委员会《关于开展2022年度北京市农业农村地方标准复审工作的通知》要求，组织业内相关专家开展了标准复审工作，专家一致认为《兽用药品贮存管理规范》需进行修订。7月，标准起草单位进行了标准修订申报及前期调研工作。10月，标准起草单位根据北京市市场监督管理局《关于征集2023年北京市地方标准制修订项目的通知》（京市监发[2022]114号）的要求，组织成立了起草工作组，明确任务分工，制定标准修订计划，完成标准开题工作。</w:t>
      </w:r>
    </w:p>
    <w:p w14:paraId="6A622E52" w14:textId="77777777" w:rsidR="00063AEF" w:rsidRDefault="00000000">
      <w:pPr>
        <w:spacing w:line="560" w:lineRule="exact"/>
        <w:ind w:firstLineChars="200" w:firstLine="640"/>
        <w:rPr>
          <w:rStyle w:val="NormalCharacter"/>
          <w:rFonts w:ascii="仿宋_GB2312" w:eastAsia="仿宋_GB2312"/>
          <w:sz w:val="32"/>
        </w:rPr>
      </w:pPr>
      <w:r>
        <w:rPr>
          <w:rStyle w:val="NormalCharacter"/>
          <w:rFonts w:ascii="仿宋_GB2312" w:eastAsia="仿宋_GB2312" w:hint="eastAsia"/>
          <w:sz w:val="32"/>
        </w:rPr>
        <w:t xml:space="preserve">2、2022年11月-2023年2月，标准内部研讨编制阶段。标准起草工作组组织对标准使用单位及相关人员开展了调研，整理分析调研情况，通过内部研讨、查阅资料等方式，结合目前兽药贮存管理工作实际，对原标准内容中的技术要求进行了梳理与更新，重点关注兽药贮存管理所需设施设备、规章制度及人员等要素，使其更切合应用实际，编制形成了预审稿。　</w:t>
      </w:r>
    </w:p>
    <w:p w14:paraId="5397FC65" w14:textId="77777777" w:rsidR="00063AEF" w:rsidRDefault="00000000">
      <w:pPr>
        <w:numPr>
          <w:ilvl w:val="0"/>
          <w:numId w:val="3"/>
        </w:numPr>
        <w:ind w:left="0" w:firstLineChars="200" w:firstLine="640"/>
        <w:rPr>
          <w:rFonts w:ascii="黑体" w:eastAsia="黑体" w:hAnsi="黑体" w:cs="黑体"/>
          <w:sz w:val="32"/>
        </w:rPr>
      </w:pPr>
      <w:r>
        <w:rPr>
          <w:rFonts w:ascii="黑体" w:eastAsia="黑体" w:hAnsi="黑体" w:cs="黑体" w:hint="eastAsia"/>
          <w:sz w:val="32"/>
        </w:rPr>
        <w:t>制定标准的原则和依据，与现行法律、法规、标准的关系。</w:t>
      </w:r>
    </w:p>
    <w:p w14:paraId="08BA8B28"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（一）标准编制原则</w:t>
      </w:r>
    </w:p>
    <w:p w14:paraId="7779368C" w14:textId="77777777" w:rsidR="00063AEF" w:rsidRDefault="00000000">
      <w:pPr>
        <w:ind w:firstLineChars="200" w:firstLine="640"/>
        <w:rPr>
          <w:rFonts w:ascii="仿宋_GB2312" w:eastAsia="仿宋_GB2312"/>
          <w:color w:val="0000FF"/>
          <w:sz w:val="28"/>
          <w:szCs w:val="28"/>
          <w:highlight w:val="yellow"/>
        </w:rPr>
      </w:pPr>
      <w:r>
        <w:rPr>
          <w:rStyle w:val="NormalCharacter"/>
          <w:rFonts w:ascii="仿宋_GB2312" w:eastAsia="仿宋_GB2312" w:hAnsi="宋体"/>
          <w:sz w:val="32"/>
          <w:szCs w:val="32"/>
        </w:rPr>
        <w:t>本文件按照GB/T 1.1-2020 标准化工作导则给出的规则起草。技术指标参考国内、外相关资料和国内实际情况制定，遵循了科学、先进、适用的原则，即标准指标要科学先</w:t>
      </w:r>
      <w:r>
        <w:rPr>
          <w:rStyle w:val="NormalCharacter"/>
          <w:rFonts w:ascii="仿宋_GB2312" w:eastAsia="仿宋_GB2312" w:hAnsi="宋体"/>
          <w:sz w:val="32"/>
          <w:szCs w:val="32"/>
        </w:rPr>
        <w:lastRenderedPageBreak/>
        <w:t>进、经济合理、实施便利。</w:t>
      </w:r>
    </w:p>
    <w:p w14:paraId="002EA1D5"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（二）标准编制依据</w:t>
      </w:r>
    </w:p>
    <w:p w14:paraId="18031D5B" w14:textId="77777777" w:rsidR="00063AEF" w:rsidRDefault="00000000">
      <w:pPr>
        <w:ind w:firstLineChars="200"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兽药管理条例》（国务院令第726号）第四章兽药经营第二十九条：兽药经营企业，应当建立兽药保管制度，采取必要的冷藏、防冻、防潮、防虫、防鼠等措施，保持所经营兽药的质量。兽药入库、出库，应当执行检查验收制度，并有准确记录。</w:t>
      </w:r>
    </w:p>
    <w:p w14:paraId="4A89EFA5" w14:textId="77777777" w:rsidR="00063AEF" w:rsidRDefault="00000000">
      <w:pPr>
        <w:ind w:firstLineChars="200"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《兽药管理条例》（国务院令第726号）第四章兽药经营第三十条：强制免疫所需兽用生物制品的经营，应当符合国务院兽医行政管理部门的规定。</w:t>
      </w:r>
    </w:p>
    <w:p w14:paraId="28BB6F01" w14:textId="77777777" w:rsidR="00063AEF" w:rsidRDefault="00000000">
      <w:pPr>
        <w:ind w:firstLineChars="200"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兽药管理条例》（国务院令第726号）附则第七十二条本条例下列用语的含义是：（一）兽药，是指用于预防、治疗、诊断动物疾病或者有目的地调节动物生理机能的物质（含药物饲料添加剂），主要包括：血清制品、疫苗、诊断制品、微生态制品、中药材、中成药、化学药品、抗生素、生化药品、放射性药品及外用杀虫剂、消毒剂等。</w:t>
      </w:r>
    </w:p>
    <w:p w14:paraId="399E5227"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（三）与现行法律、法规、标准的关系</w:t>
      </w:r>
    </w:p>
    <w:p w14:paraId="09C28560" w14:textId="50EED9E8" w:rsidR="00063AEF" w:rsidRDefault="00000000">
      <w:pPr>
        <w:ind w:firstLineChars="200"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本标准为技术标准，其内容符合国家、北京市现行的方针、政策、法律、法规及行业发展水平。本文件符合《中华人民共和国动物防疫法》《兽药管理条例》的规定。</w:t>
      </w:r>
    </w:p>
    <w:p w14:paraId="7CF518C6" w14:textId="77777777" w:rsidR="00063AEF" w:rsidRDefault="00000000">
      <w:pPr>
        <w:numPr>
          <w:ilvl w:val="0"/>
          <w:numId w:val="3"/>
        </w:numPr>
        <w:ind w:left="0" w:firstLineChars="200" w:firstLine="640"/>
        <w:rPr>
          <w:rFonts w:ascii="黑体" w:eastAsia="黑体" w:hAnsi="黑体" w:cs="黑体"/>
          <w:sz w:val="32"/>
        </w:rPr>
      </w:pPr>
      <w:r>
        <w:rPr>
          <w:rFonts w:ascii="黑体" w:eastAsia="黑体" w:hAnsi="黑体" w:cs="黑体" w:hint="eastAsia"/>
          <w:sz w:val="32"/>
        </w:rPr>
        <w:t>主要条款的说明，主要技术指标、参数、实验验证的论述。</w:t>
      </w:r>
    </w:p>
    <w:p w14:paraId="45C98388" w14:textId="77777777" w:rsidR="00063AEF" w:rsidRDefault="00000000">
      <w:pPr>
        <w:spacing w:line="56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sz w:val="32"/>
          <w:szCs w:val="32"/>
        </w:rPr>
        <w:lastRenderedPageBreak/>
        <w:t>本</w:t>
      </w:r>
      <w:r>
        <w:rPr>
          <w:rStyle w:val="NormalCharacter"/>
          <w:rFonts w:ascii="仿宋_GB2312" w:eastAsia="仿宋_GB2312" w:hAnsi="宋体" w:hint="eastAsia"/>
          <w:sz w:val="32"/>
          <w:szCs w:val="32"/>
        </w:rPr>
        <w:t>文件</w:t>
      </w:r>
      <w:r>
        <w:rPr>
          <w:rStyle w:val="NormalCharacter"/>
          <w:rFonts w:ascii="仿宋_GB2312" w:eastAsia="仿宋_GB2312" w:hAnsi="宋体"/>
          <w:sz w:val="32"/>
          <w:szCs w:val="32"/>
        </w:rPr>
        <w:t>的内容符合国家现行的方针、政策、法律、法规及行业发展要求。现围绕几个主要技术、参数论述如下：</w:t>
      </w:r>
    </w:p>
    <w:p w14:paraId="5EC7C608" w14:textId="77777777" w:rsidR="00063AEF" w:rsidRDefault="00000000">
      <w:pPr>
        <w:spacing w:line="56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（一）范围</w:t>
      </w:r>
    </w:p>
    <w:p w14:paraId="310501A4" w14:textId="762A85A0" w:rsidR="00063AEF" w:rsidRDefault="00000000">
      <w:pPr>
        <w:spacing w:line="56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增加了不适用范围，即不适用于精神类、毒麻类、放射类兽药贮存管理。因精神类、毒麻类、放射类兽药的经营与使用有更加严格的贮存管理要求，且使用上述兽药的应用单位少，适用范围小。</w:t>
      </w:r>
    </w:p>
    <w:p w14:paraId="281CB72A" w14:textId="77777777" w:rsidR="00063AEF" w:rsidRDefault="00000000">
      <w:pPr>
        <w:spacing w:line="560" w:lineRule="exact"/>
        <w:ind w:firstLineChars="200" w:firstLine="640"/>
        <w:rPr>
          <w:rStyle w:val="NormalCharacter"/>
          <w:rFonts w:ascii="仿宋_GB2312" w:eastAsia="仿宋_GB2312" w:hAnsi="宋体"/>
          <w:sz w:val="32"/>
          <w:szCs w:val="32"/>
          <w:lang w:val="en"/>
        </w:rPr>
      </w:pPr>
      <w:r>
        <w:rPr>
          <w:rStyle w:val="NormalCharacter"/>
          <w:rFonts w:ascii="仿宋_GB2312" w:eastAsia="仿宋_GB2312" w:hAnsi="宋体" w:hint="eastAsia"/>
          <w:sz w:val="32"/>
          <w:szCs w:val="32"/>
        </w:rPr>
        <w:t>修改了适用范围，即适用于北京地区兽药使用单位的兽药贮存管理。因《兽药经营质量管理规范》</w:t>
      </w:r>
      <w:r>
        <w:rPr>
          <w:rStyle w:val="NormalCharacter"/>
          <w:rFonts w:ascii="仿宋_GB2312" w:eastAsia="仿宋_GB2312" w:hAnsi="宋体" w:hint="eastAsia"/>
          <w:sz w:val="32"/>
          <w:szCs w:val="32"/>
          <w:lang w:val="en"/>
        </w:rPr>
        <w:t>已对</w:t>
      </w:r>
      <w:r>
        <w:rPr>
          <w:rStyle w:val="NormalCharacter"/>
          <w:rFonts w:ascii="仿宋_GB2312" w:eastAsia="仿宋_GB2312" w:hAnsi="宋体" w:hint="eastAsia"/>
          <w:sz w:val="32"/>
          <w:szCs w:val="32"/>
        </w:rPr>
        <w:t>兽药经营企业的贮存管理</w:t>
      </w:r>
      <w:r>
        <w:rPr>
          <w:rStyle w:val="NormalCharacter"/>
          <w:rFonts w:ascii="仿宋_GB2312" w:eastAsia="仿宋_GB2312" w:hAnsi="宋体" w:hint="eastAsia"/>
          <w:sz w:val="32"/>
          <w:szCs w:val="32"/>
          <w:lang w:val="en"/>
        </w:rPr>
        <w:t>提出了具体要求，本标准对这部分内容进行了剔除，不再做出规定。</w:t>
      </w:r>
    </w:p>
    <w:p w14:paraId="70AB7DC7" w14:textId="77777777" w:rsidR="00063AEF" w:rsidRDefault="00000000">
      <w:pPr>
        <w:spacing w:line="56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（二）术语和定义</w:t>
      </w:r>
    </w:p>
    <w:p w14:paraId="7E052BFB" w14:textId="77777777" w:rsidR="00063AEF" w:rsidRDefault="00000000">
      <w:pPr>
        <w:spacing w:line="56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本标准修改了兽用药品名称，即用于预防、治疗、诊断动物疾病或者有目的地调节动物生理机能的物质（含药物饲料添加剂）。根据《兽药管理条例》（国务院令第726号）附则第七十二条，对兽用药品的名称及解释进行了修订。</w:t>
      </w:r>
    </w:p>
    <w:p w14:paraId="27754395" w14:textId="77777777" w:rsidR="00063AEF" w:rsidRDefault="00000000">
      <w:pPr>
        <w:spacing w:line="56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（三）贮存场所</w:t>
      </w:r>
    </w:p>
    <w:p w14:paraId="58AE674C" w14:textId="77777777" w:rsidR="00063AEF" w:rsidRDefault="00000000">
      <w:pPr>
        <w:spacing w:line="56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根据《兽药管理条例》对贮存场所相关设施、设备要求进行了修改完善，增加了待验兽药区和留样兽药区，删掉了退货兽药区。经对畜禽养殖场等兽药应用单位的调研，修改后，该条款将更符合应用单位的使用场景。</w:t>
      </w:r>
    </w:p>
    <w:p w14:paraId="35BDA2FB" w14:textId="77777777" w:rsidR="00063AEF" w:rsidRDefault="00000000">
      <w:pPr>
        <w:spacing w:line="56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（四）人员</w:t>
      </w:r>
    </w:p>
    <w:p w14:paraId="47223EE4" w14:textId="5937FE48" w:rsidR="00063AEF" w:rsidRDefault="00000000">
      <w:pPr>
        <w:spacing w:line="56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根据《兽药管理条例》，该标准对人员要求进行了更新，提出了</w:t>
      </w:r>
      <w:r w:rsidRPr="00C16CAC">
        <w:rPr>
          <w:rStyle w:val="NormalCharacter"/>
          <w:rFonts w:ascii="仿宋_GB2312" w:eastAsia="仿宋_GB2312" w:hint="eastAsia"/>
          <w:sz w:val="32"/>
          <w:szCs w:val="32"/>
        </w:rPr>
        <w:t>办公软件操作技能</w:t>
      </w:r>
      <w:r>
        <w:rPr>
          <w:rStyle w:val="NormalCharacter"/>
          <w:rFonts w:ascii="仿宋_GB2312" w:eastAsia="仿宋_GB2312" w:hint="eastAsia"/>
          <w:sz w:val="32"/>
          <w:szCs w:val="32"/>
        </w:rPr>
        <w:t>的要求，以</w:t>
      </w:r>
      <w:r>
        <w:rPr>
          <w:rStyle w:val="NormalCharacter"/>
          <w:rFonts w:ascii="仿宋_GB2312" w:eastAsia="仿宋_GB2312" w:hAnsi="宋体" w:hint="eastAsia"/>
          <w:sz w:val="32"/>
          <w:szCs w:val="32"/>
        </w:rPr>
        <w:t>确保兽药管理负责人及</w:t>
      </w:r>
      <w:r>
        <w:rPr>
          <w:rStyle w:val="NormalCharacter"/>
          <w:rFonts w:ascii="仿宋_GB2312" w:eastAsia="仿宋_GB2312" w:hAnsi="宋体" w:hint="eastAsia"/>
          <w:sz w:val="32"/>
          <w:szCs w:val="32"/>
        </w:rPr>
        <w:lastRenderedPageBreak/>
        <w:t>库管员能够适应当前兽药贮存和信息化管理的需求。</w:t>
      </w:r>
    </w:p>
    <w:p w14:paraId="07D38427" w14:textId="77777777" w:rsidR="00063AEF" w:rsidRDefault="00000000">
      <w:pPr>
        <w:spacing w:line="56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（五）规章制度</w:t>
      </w:r>
    </w:p>
    <w:p w14:paraId="58817F0B" w14:textId="5422F529" w:rsidR="00063AEF" w:rsidRDefault="00000000">
      <w:pPr>
        <w:spacing w:line="56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根据《兽药管理条例》及兽药贮存管理实际情况，增加了建立电子化信息系统等内容，明确了记录保存期限不应少于2年，以确保兽药贮存、使用、出入库等情况可追溯。删除了退货兽药处理记录，该条款适用于兽药经营企业，因范围进行了修改，故删除了退货兽药处理记录。</w:t>
      </w:r>
    </w:p>
    <w:p w14:paraId="7AF3AFA5" w14:textId="77777777" w:rsidR="00063AEF" w:rsidRDefault="00000000">
      <w:pPr>
        <w:numPr>
          <w:ilvl w:val="0"/>
          <w:numId w:val="6"/>
        </w:numPr>
        <w:spacing w:line="56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入库、存放、出库管理</w:t>
      </w:r>
    </w:p>
    <w:p w14:paraId="71A6474C" w14:textId="77777777" w:rsidR="00063AEF" w:rsidRDefault="00000000">
      <w:pPr>
        <w:spacing w:line="560" w:lineRule="exact"/>
        <w:rPr>
          <w:rStyle w:val="NormalCharacter"/>
          <w:rFonts w:ascii="仿宋_GB2312" w:eastAsia="仿宋_GB2312" w:hAnsi="宋体"/>
          <w:sz w:val="32"/>
          <w:szCs w:val="32"/>
        </w:rPr>
      </w:pPr>
      <w:r>
        <w:rPr>
          <w:rStyle w:val="NormalCharacter"/>
          <w:rFonts w:ascii="仿宋_GB2312" w:eastAsia="仿宋_GB2312" w:hAnsi="宋体" w:hint="eastAsia"/>
          <w:sz w:val="32"/>
          <w:szCs w:val="32"/>
        </w:rPr>
        <w:t xml:space="preserve">    根据兽药实际贮存管理情况，对兽药入库管理方面，其记录要求增加了兽药含量、经销厂商、有效期等内容，以确保兽药的追溯管理；存放管理方面，增加了根据产品说明书储存的要求，以确保药品储存条件更为科学有效；将质量状态不明确药品区更改为了待验药品区；出库管理方面，因保存温度发生变化，会导致部分兽药成分发生改变，甚至变质，从而无法判断其有效性，故在不应出库条件中增加了保存温度变化条目。</w:t>
      </w:r>
    </w:p>
    <w:p w14:paraId="130A2047" w14:textId="77777777" w:rsidR="00063AEF" w:rsidRDefault="00000000">
      <w:pPr>
        <w:spacing w:line="560" w:lineRule="exact"/>
        <w:ind w:firstLineChars="200" w:firstLine="640"/>
        <w:rPr>
          <w:rStyle w:val="NormalCharacter"/>
          <w:rFonts w:ascii="仿宋_GB2312" w:eastAsia="仿宋_GB2312" w:hAnsi="宋体"/>
          <w:sz w:val="32"/>
          <w:szCs w:val="32"/>
        </w:rPr>
      </w:pPr>
      <w:r>
        <w:rPr>
          <w:rStyle w:val="NormalCharacter"/>
          <w:rFonts w:ascii="仿宋_GB2312" w:eastAsia="仿宋_GB2312" w:hAnsi="宋体" w:hint="eastAsia"/>
          <w:sz w:val="32"/>
          <w:szCs w:val="32"/>
        </w:rPr>
        <w:t>（七）因该标准适用范围明确了不适用范围，即不适用于精神类、毒麻类、放射类兽药，因此删除了特殊药品管理条款。</w:t>
      </w:r>
    </w:p>
    <w:p w14:paraId="06850C67" w14:textId="77777777" w:rsidR="00063AEF" w:rsidRDefault="00000000">
      <w:pPr>
        <w:numPr>
          <w:ilvl w:val="0"/>
          <w:numId w:val="3"/>
        </w:numPr>
        <w:ind w:left="0" w:firstLineChars="200" w:firstLine="640"/>
        <w:rPr>
          <w:rFonts w:ascii="黑体" w:eastAsia="黑体" w:hAnsi="黑体" w:cs="黑体"/>
          <w:sz w:val="32"/>
        </w:rPr>
      </w:pPr>
      <w:r>
        <w:rPr>
          <w:rFonts w:ascii="黑体" w:eastAsia="黑体" w:hAnsi="黑体" w:cs="黑体" w:hint="eastAsia"/>
          <w:sz w:val="32"/>
        </w:rPr>
        <w:t>重大意见分歧的处理依据和结果。</w:t>
      </w:r>
    </w:p>
    <w:p w14:paraId="39397F45" w14:textId="77777777" w:rsidR="00063AEF" w:rsidRDefault="00000000">
      <w:pPr>
        <w:ind w:firstLineChars="200" w:firstLine="640"/>
        <w:rPr>
          <w:rFonts w:ascii="黑体" w:eastAsia="黑体" w:hAnsi="黑体" w:cs="黑体"/>
          <w:sz w:val="32"/>
        </w:rPr>
      </w:pPr>
      <w:r>
        <w:rPr>
          <w:rStyle w:val="NormalCharacter"/>
          <w:rFonts w:ascii="仿宋_GB2312" w:eastAsia="仿宋_GB2312"/>
          <w:sz w:val="32"/>
        </w:rPr>
        <w:t>无重大分歧。</w:t>
      </w:r>
    </w:p>
    <w:p w14:paraId="6DD44837" w14:textId="77777777" w:rsidR="00063AEF" w:rsidRDefault="00000000">
      <w:pPr>
        <w:numPr>
          <w:ilvl w:val="0"/>
          <w:numId w:val="3"/>
        </w:numPr>
        <w:ind w:left="0" w:firstLineChars="200" w:firstLine="640"/>
        <w:rPr>
          <w:rFonts w:ascii="黑体" w:eastAsia="黑体" w:hAnsi="黑体" w:cs="黑体"/>
          <w:sz w:val="32"/>
        </w:rPr>
      </w:pPr>
      <w:r>
        <w:rPr>
          <w:rFonts w:ascii="黑体" w:eastAsia="黑体" w:hAnsi="黑体" w:cs="黑体" w:hint="eastAsia"/>
          <w:sz w:val="32"/>
        </w:rPr>
        <w:t>与国内外同类标准水平的对比情况。</w:t>
      </w:r>
    </w:p>
    <w:p w14:paraId="42AC2F3D" w14:textId="6327DFB8"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无相关国</w:t>
      </w:r>
      <w:r w:rsidR="00C16CAC">
        <w:rPr>
          <w:rStyle w:val="NormalCharacter"/>
          <w:rFonts w:ascii="仿宋_GB2312" w:eastAsia="仿宋_GB2312" w:hint="eastAsia"/>
          <w:sz w:val="32"/>
        </w:rPr>
        <w:t>家标准、行业标准</w:t>
      </w:r>
      <w:r>
        <w:rPr>
          <w:rStyle w:val="NormalCharacter"/>
          <w:rFonts w:ascii="仿宋_GB2312" w:eastAsia="仿宋_GB2312" w:hint="eastAsia"/>
          <w:sz w:val="32"/>
        </w:rPr>
        <w:t>等。</w:t>
      </w:r>
    </w:p>
    <w:p w14:paraId="629CFF3D" w14:textId="77777777" w:rsidR="00063AEF" w:rsidRDefault="00000000">
      <w:pPr>
        <w:numPr>
          <w:ilvl w:val="0"/>
          <w:numId w:val="3"/>
        </w:numPr>
        <w:ind w:left="0" w:firstLineChars="200" w:firstLine="640"/>
        <w:rPr>
          <w:rFonts w:ascii="黑体" w:eastAsia="黑体" w:hAnsi="黑体" w:cs="黑体"/>
          <w:sz w:val="32"/>
        </w:rPr>
      </w:pPr>
      <w:r>
        <w:rPr>
          <w:rFonts w:ascii="黑体" w:eastAsia="黑体" w:hAnsi="黑体" w:cs="黑体" w:hint="eastAsia"/>
          <w:sz w:val="32"/>
        </w:rPr>
        <w:t>作为推荐性标准或者强制性标准的建议及其理</w:t>
      </w:r>
      <w:r>
        <w:rPr>
          <w:rFonts w:ascii="黑体" w:eastAsia="黑体" w:hAnsi="黑体" w:cs="黑体" w:hint="eastAsia"/>
          <w:sz w:val="32"/>
        </w:rPr>
        <w:lastRenderedPageBreak/>
        <w:t>由。</w:t>
      </w:r>
    </w:p>
    <w:p w14:paraId="3BF8BD53" w14:textId="77777777" w:rsidR="00063AEF" w:rsidRDefault="00000000">
      <w:pPr>
        <w:pStyle w:val="af"/>
        <w:ind w:firstLine="640"/>
        <w:rPr>
          <w:rStyle w:val="NormalCharacter"/>
          <w:rFonts w:ascii="仿宋_GB2312" w:eastAsia="仿宋_GB2312"/>
          <w:kern w:val="2"/>
          <w:sz w:val="32"/>
          <w:szCs w:val="24"/>
        </w:rPr>
      </w:pPr>
      <w:r>
        <w:rPr>
          <w:rStyle w:val="NormalCharacter"/>
          <w:rFonts w:ascii="仿宋_GB2312" w:eastAsia="仿宋_GB2312" w:hint="eastAsia"/>
          <w:kern w:val="2"/>
          <w:sz w:val="32"/>
          <w:szCs w:val="24"/>
        </w:rPr>
        <w:t>本标准规定了兽药的贮存、库房、人员、规章制度和出入库管理的要求，适用于北京地区兽药经营和使用的贮存管理。相关人员可根据实际情况参考执行，因此作为推荐性标准。</w:t>
      </w:r>
    </w:p>
    <w:p w14:paraId="5083DDC9" w14:textId="77777777" w:rsidR="00063AEF" w:rsidRDefault="00000000">
      <w:pPr>
        <w:numPr>
          <w:ilvl w:val="0"/>
          <w:numId w:val="3"/>
        </w:numPr>
        <w:ind w:left="0" w:firstLineChars="200" w:firstLine="640"/>
        <w:rPr>
          <w:rFonts w:ascii="黑体" w:eastAsia="黑体" w:hAnsi="黑体" w:cs="黑体"/>
          <w:sz w:val="32"/>
        </w:rPr>
      </w:pPr>
      <w:r>
        <w:rPr>
          <w:rFonts w:ascii="黑体" w:eastAsia="黑体" w:hAnsi="黑体" w:cs="黑体" w:hint="eastAsia"/>
          <w:sz w:val="32"/>
        </w:rPr>
        <w:t>强制性标准实施的风险点、风险程度、风险防控措施和预案。</w:t>
      </w:r>
    </w:p>
    <w:p w14:paraId="6DE0508B" w14:textId="77777777" w:rsidR="00063AEF" w:rsidRDefault="00000000">
      <w:pPr>
        <w:numPr>
          <w:ilvl w:val="0"/>
          <w:numId w:val="3"/>
        </w:numPr>
        <w:ind w:left="0" w:firstLineChars="200" w:firstLine="640"/>
        <w:rPr>
          <w:rFonts w:ascii="黑体" w:eastAsia="黑体" w:hAnsi="黑体" w:cs="黑体"/>
          <w:sz w:val="32"/>
        </w:rPr>
      </w:pPr>
      <w:r>
        <w:rPr>
          <w:rFonts w:ascii="黑体" w:eastAsia="黑体" w:hAnsi="黑体" w:cs="黑体" w:hint="eastAsia"/>
          <w:sz w:val="32"/>
        </w:rPr>
        <w:t>实施标准的措施(政策措施/宣贯培训/试点示范/监督检查/配套资金等)。</w:t>
      </w:r>
    </w:p>
    <w:p w14:paraId="517ECD3F"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（一）</w:t>
      </w:r>
      <w:r>
        <w:rPr>
          <w:rStyle w:val="NormalCharacter"/>
          <w:rFonts w:ascii="仿宋_GB2312" w:eastAsia="仿宋_GB2312"/>
          <w:sz w:val="32"/>
        </w:rPr>
        <w:t>标准颁布后，每年组织培训</w:t>
      </w:r>
      <w:r>
        <w:rPr>
          <w:rStyle w:val="NormalCharacter"/>
          <w:rFonts w:ascii="仿宋_GB2312" w:eastAsia="仿宋_GB2312" w:hint="eastAsia"/>
          <w:sz w:val="32"/>
        </w:rPr>
        <w:t>2期</w:t>
      </w:r>
      <w:r>
        <w:rPr>
          <w:rStyle w:val="NormalCharacter"/>
          <w:rFonts w:ascii="仿宋_GB2312" w:eastAsia="仿宋_GB2312"/>
          <w:sz w:val="32"/>
        </w:rPr>
        <w:t>，培训对象为</w:t>
      </w:r>
      <w:r>
        <w:rPr>
          <w:rStyle w:val="NormalCharacter"/>
          <w:rFonts w:ascii="仿宋_GB2312" w:eastAsia="仿宋_GB2312" w:hint="eastAsia"/>
          <w:sz w:val="32"/>
        </w:rPr>
        <w:t>各</w:t>
      </w:r>
      <w:r>
        <w:rPr>
          <w:rStyle w:val="NormalCharacter"/>
          <w:rFonts w:ascii="仿宋_GB2312" w:eastAsia="仿宋_GB2312"/>
          <w:sz w:val="32"/>
        </w:rPr>
        <w:t>区级动物疫病预防控制</w:t>
      </w:r>
      <w:r>
        <w:rPr>
          <w:rStyle w:val="NormalCharacter"/>
          <w:rFonts w:ascii="仿宋_GB2312" w:eastAsia="仿宋_GB2312" w:hint="eastAsia"/>
          <w:sz w:val="32"/>
        </w:rPr>
        <w:t>机构</w:t>
      </w:r>
      <w:r>
        <w:rPr>
          <w:rStyle w:val="NormalCharacter"/>
          <w:rFonts w:ascii="仿宋_GB2312" w:eastAsia="仿宋_GB2312"/>
          <w:sz w:val="32"/>
        </w:rPr>
        <w:t>及</w:t>
      </w:r>
      <w:r>
        <w:rPr>
          <w:rStyle w:val="NormalCharacter"/>
          <w:rFonts w:ascii="仿宋_GB2312" w:eastAsia="仿宋_GB2312" w:hint="eastAsia"/>
          <w:sz w:val="32"/>
        </w:rPr>
        <w:t>标准应用单位技术人员</w:t>
      </w:r>
      <w:r>
        <w:rPr>
          <w:rStyle w:val="NormalCharacter"/>
          <w:rFonts w:ascii="仿宋_GB2312" w:eastAsia="仿宋_GB2312"/>
          <w:sz w:val="32"/>
        </w:rPr>
        <w:t>，并发放资料。</w:t>
      </w:r>
    </w:p>
    <w:p w14:paraId="0894C155"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（二）</w:t>
      </w:r>
      <w:r>
        <w:rPr>
          <w:rStyle w:val="NormalCharacter"/>
          <w:rFonts w:ascii="仿宋_GB2312" w:eastAsia="仿宋_GB2312"/>
          <w:sz w:val="32"/>
        </w:rPr>
        <w:t>督促</w:t>
      </w:r>
      <w:r>
        <w:rPr>
          <w:rStyle w:val="NormalCharacter"/>
          <w:rFonts w:ascii="仿宋_GB2312" w:eastAsia="仿宋_GB2312" w:hint="eastAsia"/>
          <w:sz w:val="32"/>
        </w:rPr>
        <w:t>标准应用单位</w:t>
      </w:r>
      <w:r>
        <w:rPr>
          <w:rStyle w:val="NormalCharacter"/>
          <w:rFonts w:ascii="仿宋_GB2312" w:eastAsia="仿宋_GB2312"/>
          <w:sz w:val="32"/>
        </w:rPr>
        <w:t>参考本标准</w:t>
      </w:r>
      <w:r>
        <w:rPr>
          <w:rStyle w:val="NormalCharacter"/>
          <w:rFonts w:ascii="仿宋_GB2312" w:eastAsia="仿宋_GB2312" w:hint="eastAsia"/>
          <w:sz w:val="32"/>
        </w:rPr>
        <w:t>执行</w:t>
      </w:r>
      <w:r>
        <w:rPr>
          <w:rStyle w:val="NormalCharacter"/>
          <w:rFonts w:ascii="仿宋_GB2312" w:eastAsia="仿宋_GB2312"/>
          <w:sz w:val="32"/>
        </w:rPr>
        <w:t>。</w:t>
      </w:r>
    </w:p>
    <w:p w14:paraId="4DC98C61" w14:textId="77777777" w:rsidR="00063AEF" w:rsidRDefault="00000000">
      <w:pPr>
        <w:ind w:firstLineChars="200" w:firstLine="640"/>
        <w:rPr>
          <w:rFonts w:ascii="黑体" w:eastAsia="黑体" w:hAnsi="黑体" w:cs="黑体"/>
          <w:sz w:val="32"/>
        </w:rPr>
      </w:pPr>
      <w:r>
        <w:rPr>
          <w:rFonts w:ascii="黑体" w:eastAsia="黑体" w:hAnsi="黑体" w:cs="黑体" w:hint="eastAsia"/>
          <w:sz w:val="32"/>
        </w:rPr>
        <w:t>十一、其他应说明的事项。</w:t>
      </w:r>
    </w:p>
    <w:p w14:paraId="481B4F69" w14:textId="77777777" w:rsidR="00063AEF" w:rsidRDefault="00000000">
      <w:pPr>
        <w:ind w:firstLineChars="200" w:firstLine="640"/>
        <w:rPr>
          <w:rStyle w:val="NormalCharacter"/>
          <w:rFonts w:ascii="仿宋_GB2312" w:eastAsia="仿宋_GB2312"/>
          <w:sz w:val="32"/>
        </w:rPr>
      </w:pPr>
      <w:r>
        <w:rPr>
          <w:rStyle w:val="NormalCharacter"/>
          <w:rFonts w:ascii="仿宋_GB2312" w:eastAsia="仿宋_GB2312" w:hint="eastAsia"/>
          <w:sz w:val="32"/>
        </w:rPr>
        <w:t>无。</w:t>
      </w:r>
    </w:p>
    <w:sectPr w:rsidR="00063AE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FECE18"/>
    <w:multiLevelType w:val="singleLevel"/>
    <w:tmpl w:val="CCFECE18"/>
    <w:lvl w:ilvl="0">
      <w:start w:val="6"/>
      <w:numFmt w:val="chineseCounting"/>
      <w:suff w:val="nothing"/>
      <w:lvlText w:val="（%1）"/>
      <w:lvlJc w:val="left"/>
      <w:rPr>
        <w:rFonts w:hint="eastAsia"/>
      </w:rPr>
    </w:lvl>
  </w:abstractNum>
  <w:abstractNum w:abstractNumId="1" w15:restartNumberingAfterBreak="0">
    <w:nsid w:val="FEEEE430"/>
    <w:multiLevelType w:val="singleLevel"/>
    <w:tmpl w:val="FEEEE430"/>
    <w:lvl w:ilvl="0">
      <w:start w:val="3"/>
      <w:numFmt w:val="chineseCounting"/>
      <w:suff w:val="nothing"/>
      <w:lvlText w:val="（%1）"/>
      <w:lvlJc w:val="left"/>
      <w:rPr>
        <w:rFonts w:hint="eastAsia"/>
      </w:rPr>
    </w:lvl>
  </w:abstractNum>
  <w:abstractNum w:abstractNumId="2" w15:restartNumberingAfterBreak="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3" w15:restartNumberingAfterBreak="0">
    <w:nsid w:val="44C50F90"/>
    <w:multiLevelType w:val="multilevel"/>
    <w:tmpl w:val="44C50F90"/>
    <w:lvl w:ilvl="0">
      <w:start w:val="1"/>
      <w:numFmt w:val="lowerLetter"/>
      <w:pStyle w:val="a0"/>
      <w:lvlText w:val="%1)"/>
      <w:lvlJc w:val="left"/>
      <w:pPr>
        <w:tabs>
          <w:tab w:val="left" w:pos="840"/>
        </w:tabs>
        <w:ind w:left="839" w:hanging="419"/>
      </w:pPr>
      <w:rPr>
        <w:rFonts w:ascii="宋体" w:eastAsia="宋体" w:cs="Times New Roman" w:hint="eastAsia"/>
        <w:b w:val="0"/>
        <w:i w:val="0"/>
        <w:sz w:val="21"/>
        <w:szCs w:val="21"/>
      </w:rPr>
    </w:lvl>
    <w:lvl w:ilvl="1">
      <w:start w:val="1"/>
      <w:numFmt w:val="decimal"/>
      <w:lvlText w:val="%2)"/>
      <w:lvlJc w:val="left"/>
      <w:pPr>
        <w:tabs>
          <w:tab w:val="left" w:pos="1260"/>
        </w:tabs>
        <w:ind w:left="1259" w:hanging="419"/>
      </w:pPr>
      <w:rPr>
        <w:rFonts w:cs="Times New Roman" w:hint="eastAsia"/>
      </w:rPr>
    </w:lvl>
    <w:lvl w:ilvl="2">
      <w:start w:val="1"/>
      <w:numFmt w:val="decimal"/>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4" w15:restartNumberingAfterBreak="0">
    <w:nsid w:val="79341B64"/>
    <w:multiLevelType w:val="singleLevel"/>
    <w:tmpl w:val="79341B64"/>
    <w:lvl w:ilvl="0">
      <w:start w:val="1"/>
      <w:numFmt w:val="japaneseCounting"/>
      <w:lvlText w:val="%1、"/>
      <w:lvlJc w:val="left"/>
      <w:pPr>
        <w:tabs>
          <w:tab w:val="left" w:pos="630"/>
        </w:tabs>
        <w:ind w:left="630" w:hanging="630"/>
      </w:pPr>
      <w:rPr>
        <w:rFonts w:hint="eastAsia"/>
      </w:rPr>
    </w:lvl>
  </w:abstractNum>
  <w:abstractNum w:abstractNumId="5" w15:restartNumberingAfterBreak="0">
    <w:nsid w:val="7FFADC1C"/>
    <w:multiLevelType w:val="singleLevel"/>
    <w:tmpl w:val="7FFADC1C"/>
    <w:lvl w:ilvl="0">
      <w:start w:val="2"/>
      <w:numFmt w:val="decimal"/>
      <w:suff w:val="nothing"/>
      <w:lvlText w:val="（%1）"/>
      <w:lvlJc w:val="left"/>
    </w:lvl>
  </w:abstractNum>
  <w:num w:numId="1" w16cid:durableId="27688222">
    <w:abstractNumId w:val="3"/>
  </w:num>
  <w:num w:numId="2" w16cid:durableId="1788351030">
    <w:abstractNumId w:val="2"/>
  </w:num>
  <w:num w:numId="3" w16cid:durableId="439187786">
    <w:abstractNumId w:val="4"/>
  </w:num>
  <w:num w:numId="4" w16cid:durableId="597256593">
    <w:abstractNumId w:val="1"/>
  </w:num>
  <w:num w:numId="5" w16cid:durableId="52780642">
    <w:abstractNumId w:val="5"/>
  </w:num>
  <w:num w:numId="6" w16cid:durableId="207087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VhNDI3ZGY4NGEzYjlhNDY2ZTlhNjdmNjQ5YzBmYjkifQ=="/>
  </w:docVars>
  <w:rsids>
    <w:rsidRoot w:val="707E5C20"/>
    <w:rsid w:val="A8F7D0A4"/>
    <w:rsid w:val="BF3F0DE8"/>
    <w:rsid w:val="DFFA9DFB"/>
    <w:rsid w:val="F3399758"/>
    <w:rsid w:val="F5DF28CD"/>
    <w:rsid w:val="FB67898F"/>
    <w:rsid w:val="FBFAE635"/>
    <w:rsid w:val="FEB99ED2"/>
    <w:rsid w:val="FFFA1F53"/>
    <w:rsid w:val="00053E5F"/>
    <w:rsid w:val="00063AEF"/>
    <w:rsid w:val="000E2F62"/>
    <w:rsid w:val="000F7E69"/>
    <w:rsid w:val="00105E23"/>
    <w:rsid w:val="00162D25"/>
    <w:rsid w:val="001653F3"/>
    <w:rsid w:val="00175DDA"/>
    <w:rsid w:val="00195AA3"/>
    <w:rsid w:val="001B5C7E"/>
    <w:rsid w:val="00215D6E"/>
    <w:rsid w:val="00216B25"/>
    <w:rsid w:val="00255C20"/>
    <w:rsid w:val="00286272"/>
    <w:rsid w:val="00350E8A"/>
    <w:rsid w:val="003552EC"/>
    <w:rsid w:val="003C3DC5"/>
    <w:rsid w:val="003E21BB"/>
    <w:rsid w:val="00457C4C"/>
    <w:rsid w:val="00463836"/>
    <w:rsid w:val="004702AE"/>
    <w:rsid w:val="00476E0D"/>
    <w:rsid w:val="00494865"/>
    <w:rsid w:val="004B7E7D"/>
    <w:rsid w:val="004E4BE4"/>
    <w:rsid w:val="00512BCC"/>
    <w:rsid w:val="005162D7"/>
    <w:rsid w:val="005263AD"/>
    <w:rsid w:val="00586A57"/>
    <w:rsid w:val="005966F6"/>
    <w:rsid w:val="005A4ABB"/>
    <w:rsid w:val="00637AC2"/>
    <w:rsid w:val="00687CB3"/>
    <w:rsid w:val="006A7A7A"/>
    <w:rsid w:val="006C7373"/>
    <w:rsid w:val="006C7DB3"/>
    <w:rsid w:val="008056FA"/>
    <w:rsid w:val="00905C22"/>
    <w:rsid w:val="00907BB8"/>
    <w:rsid w:val="00945369"/>
    <w:rsid w:val="009461F9"/>
    <w:rsid w:val="0098441E"/>
    <w:rsid w:val="0099323B"/>
    <w:rsid w:val="009D1149"/>
    <w:rsid w:val="009F380E"/>
    <w:rsid w:val="00A128DA"/>
    <w:rsid w:val="00B36E2F"/>
    <w:rsid w:val="00B6457A"/>
    <w:rsid w:val="00B7453C"/>
    <w:rsid w:val="00BA7F52"/>
    <w:rsid w:val="00C049C1"/>
    <w:rsid w:val="00C12291"/>
    <w:rsid w:val="00C16CAC"/>
    <w:rsid w:val="00C43E7F"/>
    <w:rsid w:val="00CD75B5"/>
    <w:rsid w:val="00CE7610"/>
    <w:rsid w:val="00D23D26"/>
    <w:rsid w:val="00D26100"/>
    <w:rsid w:val="00D77390"/>
    <w:rsid w:val="00D80A2C"/>
    <w:rsid w:val="00DD5D32"/>
    <w:rsid w:val="00DE098E"/>
    <w:rsid w:val="00E05DE2"/>
    <w:rsid w:val="00EB44F1"/>
    <w:rsid w:val="00EC3CB5"/>
    <w:rsid w:val="00EC6BED"/>
    <w:rsid w:val="00ED0B32"/>
    <w:rsid w:val="00EE6F53"/>
    <w:rsid w:val="00EF2B91"/>
    <w:rsid w:val="00F07805"/>
    <w:rsid w:val="00F16731"/>
    <w:rsid w:val="00F915F7"/>
    <w:rsid w:val="00FA57DB"/>
    <w:rsid w:val="00FC3A49"/>
    <w:rsid w:val="00FD420D"/>
    <w:rsid w:val="00FE4D73"/>
    <w:rsid w:val="11D1474A"/>
    <w:rsid w:val="1366238E"/>
    <w:rsid w:val="19EC507C"/>
    <w:rsid w:val="2AB021AF"/>
    <w:rsid w:val="34C348FA"/>
    <w:rsid w:val="3CBA0719"/>
    <w:rsid w:val="3FBB6C1B"/>
    <w:rsid w:val="3FF557EC"/>
    <w:rsid w:val="42F71AD2"/>
    <w:rsid w:val="4A716BD1"/>
    <w:rsid w:val="514F3E5B"/>
    <w:rsid w:val="5B3F3B19"/>
    <w:rsid w:val="5C481799"/>
    <w:rsid w:val="5DAD5125"/>
    <w:rsid w:val="60A110FE"/>
    <w:rsid w:val="620F1E56"/>
    <w:rsid w:val="677D631D"/>
    <w:rsid w:val="6FFEEBD8"/>
    <w:rsid w:val="707E5C20"/>
    <w:rsid w:val="72DE7E71"/>
    <w:rsid w:val="74DB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41DF"/>
  <w15:docId w15:val="{AFCB19C7-64B3-4100-88F9-AA3C20CD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qFormat/>
    <w:pPr>
      <w:jc w:val="left"/>
    </w:pPr>
  </w:style>
  <w:style w:type="paragraph" w:styleId="a7">
    <w:name w:val="Balloon Text"/>
    <w:basedOn w:val="a1"/>
    <w:link w:val="a8"/>
    <w:qFormat/>
    <w:rPr>
      <w:sz w:val="18"/>
      <w:szCs w:val="18"/>
    </w:rPr>
  </w:style>
  <w:style w:type="paragraph" w:styleId="a9">
    <w:name w:val="footer"/>
    <w:basedOn w:val="a1"/>
    <w:qFormat/>
    <w:pPr>
      <w:tabs>
        <w:tab w:val="center" w:pos="4153"/>
        <w:tab w:val="right" w:pos="8306"/>
      </w:tabs>
      <w:snapToGrid w:val="0"/>
      <w:jc w:val="left"/>
    </w:pPr>
    <w:rPr>
      <w:sz w:val="18"/>
    </w:rPr>
  </w:style>
  <w:style w:type="paragraph" w:styleId="aa">
    <w:name w:val="header"/>
    <w:basedOn w:val="a1"/>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5"/>
    <w:next w:val="a5"/>
    <w:link w:val="ad"/>
    <w:qFormat/>
    <w:rPr>
      <w:b/>
      <w:bCs/>
    </w:rPr>
  </w:style>
  <w:style w:type="character" w:styleId="ae">
    <w:name w:val="annotation reference"/>
    <w:basedOn w:val="a2"/>
    <w:qFormat/>
    <w:rPr>
      <w:sz w:val="21"/>
      <w:szCs w:val="21"/>
    </w:rPr>
  </w:style>
  <w:style w:type="character" w:customStyle="1" w:styleId="ab">
    <w:name w:val="页眉 字符"/>
    <w:basedOn w:val="a2"/>
    <w:link w:val="aa"/>
    <w:qFormat/>
    <w:rPr>
      <w:kern w:val="2"/>
      <w:sz w:val="18"/>
      <w:szCs w:val="18"/>
    </w:rPr>
  </w:style>
  <w:style w:type="character" w:customStyle="1" w:styleId="NormalCharacter">
    <w:name w:val="NormalCharacter"/>
    <w:semiHidden/>
    <w:qFormat/>
  </w:style>
  <w:style w:type="paragraph" w:customStyle="1" w:styleId="a0">
    <w:name w:val="字母编号列项（一级）"/>
    <w:uiPriority w:val="99"/>
    <w:qFormat/>
    <w:pPr>
      <w:numPr>
        <w:numId w:val="1"/>
      </w:numPr>
      <w:jc w:val="both"/>
    </w:pPr>
    <w:rPr>
      <w:rFonts w:ascii="宋体"/>
      <w:sz w:val="21"/>
    </w:rPr>
  </w:style>
  <w:style w:type="paragraph" w:customStyle="1" w:styleId="af">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
    <w:name w:val="章标题"/>
    <w:next w:val="af"/>
    <w:uiPriority w:val="99"/>
    <w:qFormat/>
    <w:pPr>
      <w:numPr>
        <w:numId w:val="2"/>
      </w:numPr>
      <w:spacing w:beforeLines="100" w:afterLines="100"/>
      <w:jc w:val="both"/>
      <w:outlineLvl w:val="1"/>
    </w:pPr>
    <w:rPr>
      <w:rFonts w:ascii="黑体" w:eastAsia="黑体"/>
      <w:sz w:val="21"/>
    </w:rPr>
  </w:style>
  <w:style w:type="character" w:customStyle="1" w:styleId="a6">
    <w:name w:val="批注文字 字符"/>
    <w:basedOn w:val="a2"/>
    <w:link w:val="a5"/>
    <w:qFormat/>
    <w:rPr>
      <w:kern w:val="2"/>
      <w:sz w:val="21"/>
      <w:szCs w:val="24"/>
    </w:rPr>
  </w:style>
  <w:style w:type="character" w:customStyle="1" w:styleId="ad">
    <w:name w:val="批注主题 字符"/>
    <w:basedOn w:val="a6"/>
    <w:link w:val="ac"/>
    <w:qFormat/>
    <w:rPr>
      <w:b/>
      <w:bCs/>
      <w:kern w:val="2"/>
      <w:sz w:val="21"/>
      <w:szCs w:val="24"/>
    </w:rPr>
  </w:style>
  <w:style w:type="character" w:customStyle="1" w:styleId="a8">
    <w:name w:val="批注框文本 字符"/>
    <w:basedOn w:val="a2"/>
    <w:link w:val="a7"/>
    <w:qFormat/>
    <w:rPr>
      <w:kern w:val="2"/>
      <w:sz w:val="18"/>
      <w:szCs w:val="18"/>
    </w:rPr>
  </w:style>
  <w:style w:type="paragraph" w:customStyle="1" w:styleId="1">
    <w:name w:val="修订1"/>
    <w:hidden/>
    <w:uiPriority w:val="99"/>
    <w:unhideWhenUsed/>
    <w:rPr>
      <w:kern w:val="2"/>
      <w:sz w:val="21"/>
      <w:szCs w:val="24"/>
    </w:rPr>
  </w:style>
  <w:style w:type="character" w:styleId="af0">
    <w:name w:val="Placeholder Text"/>
    <w:basedOn w:val="a2"/>
    <w:uiPriority w:val="99"/>
    <w:unhideWhenUsed/>
    <w:qFormat/>
    <w:rPr>
      <w:color w:val="808080"/>
    </w:rPr>
  </w:style>
  <w:style w:type="paragraph" w:styleId="af1">
    <w:name w:val="Revision"/>
    <w:hidden/>
    <w:uiPriority w:val="99"/>
    <w:unhideWhenUsed/>
    <w:rsid w:val="00C16C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《XXXX》北京市地方标准编制说明</dc:title>
  <dc:creator>windowns</dc:creator>
  <cp:lastModifiedBy>风的传说</cp:lastModifiedBy>
  <cp:revision>2</cp:revision>
  <dcterms:created xsi:type="dcterms:W3CDTF">2023-07-18T02:19:00Z</dcterms:created>
  <dcterms:modified xsi:type="dcterms:W3CDTF">2023-07-18T02:19:00Z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D95DABD9B52645DC9C2AB7412208FA05_12</vt:lpwstr>
  </property>
</Properties>
</file>