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4F5B8A" w14:textId="77777777" w:rsidR="0047012F" w:rsidRDefault="00000000">
      <w:pPr>
        <w:jc w:val="center"/>
        <w:rPr>
          <w:rFonts w:ascii="华文中宋" w:eastAsia="华文中宋" w:hAnsi="华文中宋"/>
          <w:sz w:val="44"/>
          <w:szCs w:val="44"/>
        </w:rPr>
      </w:pPr>
      <w:r>
        <w:rPr>
          <w:rFonts w:ascii="华文中宋" w:eastAsia="华文中宋" w:hAnsi="华文中宋" w:hint="eastAsia"/>
          <w:sz w:val="44"/>
          <w:szCs w:val="44"/>
        </w:rPr>
        <w:t>《小麦喷灌水肥一体化技术规程》</w:t>
      </w:r>
    </w:p>
    <w:p w14:paraId="1E778BBC" w14:textId="77777777" w:rsidR="0047012F" w:rsidRDefault="00000000">
      <w:pPr>
        <w:jc w:val="center"/>
        <w:rPr>
          <w:rFonts w:ascii="华文中宋" w:eastAsia="华文中宋" w:hAnsi="华文中宋"/>
          <w:sz w:val="44"/>
          <w:szCs w:val="44"/>
        </w:rPr>
      </w:pPr>
      <w:r>
        <w:rPr>
          <w:rFonts w:ascii="华文中宋" w:eastAsia="华文中宋" w:hAnsi="华文中宋" w:hint="eastAsia"/>
          <w:sz w:val="44"/>
          <w:szCs w:val="44"/>
        </w:rPr>
        <w:t>北京市地方标准编制说明</w:t>
      </w:r>
    </w:p>
    <w:p w14:paraId="6B387387" w14:textId="77777777" w:rsidR="0047012F" w:rsidRDefault="0047012F">
      <w:pPr>
        <w:rPr>
          <w:sz w:val="32"/>
        </w:rPr>
      </w:pPr>
    </w:p>
    <w:p w14:paraId="6FB4DFC7" w14:textId="77777777" w:rsidR="0047012F" w:rsidRDefault="00000000">
      <w:pPr>
        <w:numPr>
          <w:ilvl w:val="0"/>
          <w:numId w:val="2"/>
        </w:numPr>
        <w:ind w:left="0" w:firstLineChars="200" w:firstLine="640"/>
        <w:rPr>
          <w:rFonts w:ascii="黑体" w:eastAsia="黑体" w:hAnsi="黑体" w:cs="黑体"/>
          <w:sz w:val="32"/>
        </w:rPr>
      </w:pPr>
      <w:r>
        <w:rPr>
          <w:rFonts w:ascii="黑体" w:eastAsia="黑体" w:hAnsi="黑体" w:cs="黑体" w:hint="eastAsia"/>
          <w:sz w:val="32"/>
        </w:rPr>
        <w:t>任务来源，起草单位，协作单位，主要起草人。</w:t>
      </w:r>
    </w:p>
    <w:p w14:paraId="08F9B821" w14:textId="77777777" w:rsidR="0047012F" w:rsidRDefault="00000000">
      <w:pPr>
        <w:ind w:firstLineChars="200" w:firstLine="560"/>
        <w:rPr>
          <w:rFonts w:ascii="仿宋_GB2312" w:eastAsia="仿宋_GB2312"/>
          <w:sz w:val="28"/>
          <w:szCs w:val="22"/>
        </w:rPr>
      </w:pPr>
      <w:r>
        <w:rPr>
          <w:rFonts w:ascii="仿宋_GB2312" w:eastAsia="仿宋_GB2312" w:hint="eastAsia"/>
          <w:sz w:val="28"/>
          <w:szCs w:val="22"/>
        </w:rPr>
        <w:t>任务来源：2022年10月，根据《北京市地方标准管理办法》及北京市市场监督管理局《关于征集2023年北京市地方标准制修订项目的通知》的要求，北京市农业技术推广站向北京市农业农村局提交了《小麦喷灌水肥一体化技术规程》的地方标准立项申请。2023年1月，根据《北京市市场监督管理局关于印发2023年北京市地方标准制定项目计划的通知》要求，北京市农业技术推广站负责起草《小麦喷灌水肥一体化技术规程</w:t>
      </w:r>
      <w:proofErr w:type="gramStart"/>
      <w:r>
        <w:rPr>
          <w:rFonts w:ascii="仿宋_GB2312" w:eastAsia="仿宋_GB2312" w:hint="eastAsia"/>
          <w:sz w:val="28"/>
          <w:szCs w:val="22"/>
        </w:rPr>
        <w:t>》</w:t>
      </w:r>
      <w:proofErr w:type="gramEnd"/>
      <w:r>
        <w:rPr>
          <w:rFonts w:ascii="仿宋_GB2312" w:eastAsia="仿宋_GB2312" w:hint="eastAsia"/>
          <w:sz w:val="28"/>
          <w:szCs w:val="22"/>
        </w:rPr>
        <w:t>，项目编号为20231129。</w:t>
      </w:r>
    </w:p>
    <w:p w14:paraId="6F196D94" w14:textId="77777777" w:rsidR="0047012F" w:rsidRDefault="00000000">
      <w:pPr>
        <w:ind w:firstLineChars="200" w:firstLine="560"/>
        <w:rPr>
          <w:rFonts w:ascii="仿宋_GB2312" w:eastAsia="仿宋_GB2312"/>
          <w:sz w:val="28"/>
          <w:szCs w:val="22"/>
        </w:rPr>
      </w:pPr>
      <w:r>
        <w:rPr>
          <w:rFonts w:ascii="仿宋_GB2312" w:eastAsia="仿宋_GB2312" w:hint="eastAsia"/>
          <w:sz w:val="28"/>
          <w:szCs w:val="22"/>
        </w:rPr>
        <w:t>起草单位：北京市农业技术推广站。</w:t>
      </w:r>
    </w:p>
    <w:p w14:paraId="3D8DAB52" w14:textId="77777777" w:rsidR="0047012F" w:rsidRDefault="00000000">
      <w:pPr>
        <w:ind w:firstLineChars="200" w:firstLine="560"/>
        <w:rPr>
          <w:rFonts w:ascii="仿宋_GB2312" w:eastAsia="仿宋_GB2312"/>
          <w:sz w:val="28"/>
          <w:szCs w:val="22"/>
        </w:rPr>
      </w:pPr>
      <w:r>
        <w:rPr>
          <w:rFonts w:ascii="仿宋_GB2312" w:eastAsia="仿宋_GB2312" w:hint="eastAsia"/>
          <w:sz w:val="28"/>
          <w:szCs w:val="22"/>
        </w:rPr>
        <w:t>协作单位：无。</w:t>
      </w:r>
    </w:p>
    <w:p w14:paraId="7EF239A2" w14:textId="77777777" w:rsidR="0047012F" w:rsidRDefault="00000000">
      <w:pPr>
        <w:pStyle w:val="BodyText21"/>
        <w:rPr>
          <w:rFonts w:ascii="仿宋_GB2312" w:eastAsia="仿宋_GB2312"/>
          <w:color w:val="auto"/>
          <w:sz w:val="28"/>
          <w:szCs w:val="22"/>
        </w:rPr>
      </w:pPr>
      <w:r>
        <w:rPr>
          <w:rFonts w:hint="eastAsia"/>
        </w:rPr>
        <w:t xml:space="preserve">     </w:t>
      </w:r>
      <w:r>
        <w:rPr>
          <w:rFonts w:ascii="仿宋_GB2312" w:eastAsia="仿宋_GB2312" w:hint="eastAsia"/>
          <w:color w:val="auto"/>
          <w:sz w:val="28"/>
          <w:szCs w:val="22"/>
        </w:rPr>
        <w:t>主要起草人：岳焕芳，王俊英，安顺伟，孟范玉，胡潇怡，张雪梅，郎书文，周吉红，胡</w:t>
      </w:r>
      <w:proofErr w:type="gramStart"/>
      <w:r>
        <w:rPr>
          <w:rFonts w:ascii="仿宋_GB2312" w:eastAsia="仿宋_GB2312" w:hint="eastAsia"/>
          <w:color w:val="auto"/>
          <w:sz w:val="28"/>
          <w:szCs w:val="22"/>
        </w:rPr>
        <w:t>瓒</w:t>
      </w:r>
      <w:proofErr w:type="gramEnd"/>
      <w:r>
        <w:rPr>
          <w:rFonts w:ascii="仿宋_GB2312" w:eastAsia="仿宋_GB2312" w:hint="eastAsia"/>
          <w:color w:val="auto"/>
          <w:sz w:val="28"/>
          <w:szCs w:val="22"/>
        </w:rPr>
        <w:t>，刘佳伟，许虹，朱岳，曾烨，贾松涛，赵懿，韩宝。</w:t>
      </w:r>
    </w:p>
    <w:p w14:paraId="2D99FBAE" w14:textId="77777777" w:rsidR="0047012F" w:rsidRDefault="00000000">
      <w:pPr>
        <w:numPr>
          <w:ilvl w:val="0"/>
          <w:numId w:val="2"/>
        </w:numPr>
        <w:ind w:left="0" w:firstLineChars="200" w:firstLine="640"/>
        <w:rPr>
          <w:rFonts w:ascii="黑体" w:eastAsia="黑体" w:hAnsi="黑体" w:cs="黑体"/>
          <w:sz w:val="32"/>
        </w:rPr>
      </w:pPr>
      <w:r>
        <w:rPr>
          <w:rFonts w:ascii="黑体" w:eastAsia="黑体" w:hAnsi="黑体" w:cs="黑体" w:hint="eastAsia"/>
          <w:sz w:val="32"/>
        </w:rPr>
        <w:t>制定标准的必要性和意义。</w:t>
      </w:r>
    </w:p>
    <w:p w14:paraId="0759178F" w14:textId="77777777" w:rsidR="0047012F" w:rsidRDefault="00000000">
      <w:pPr>
        <w:ind w:firstLineChars="200" w:firstLine="560"/>
        <w:rPr>
          <w:rFonts w:ascii="仿宋_GB2312" w:eastAsia="仿宋_GB2312"/>
          <w:b/>
          <w:bCs/>
          <w:sz w:val="28"/>
          <w:szCs w:val="22"/>
        </w:rPr>
      </w:pPr>
      <w:r>
        <w:rPr>
          <w:rFonts w:ascii="仿宋_GB2312" w:eastAsia="仿宋_GB2312" w:hint="eastAsia"/>
          <w:b/>
          <w:bCs/>
          <w:sz w:val="28"/>
          <w:szCs w:val="22"/>
        </w:rPr>
        <w:t>（一）必要性</w:t>
      </w:r>
    </w:p>
    <w:p w14:paraId="7FE97827" w14:textId="77777777" w:rsidR="0047012F" w:rsidRDefault="00000000">
      <w:pPr>
        <w:ind w:firstLineChars="200" w:firstLine="560"/>
        <w:rPr>
          <w:rFonts w:ascii="仿宋_GB2312" w:eastAsia="仿宋_GB2312"/>
          <w:b/>
          <w:bCs/>
          <w:sz w:val="28"/>
          <w:szCs w:val="22"/>
        </w:rPr>
      </w:pPr>
      <w:r>
        <w:rPr>
          <w:rFonts w:ascii="仿宋_GB2312" w:eastAsia="仿宋_GB2312" w:hint="eastAsia"/>
          <w:b/>
          <w:bCs/>
          <w:sz w:val="28"/>
          <w:szCs w:val="22"/>
        </w:rPr>
        <w:t>（1）水资源紧缺是北京基本市情水情</w:t>
      </w:r>
    </w:p>
    <w:p w14:paraId="3AB35AA4" w14:textId="77777777" w:rsidR="0047012F" w:rsidRDefault="00000000">
      <w:pPr>
        <w:ind w:firstLineChars="200" w:firstLine="560"/>
        <w:rPr>
          <w:rFonts w:ascii="仿宋_GB2312" w:eastAsia="仿宋_GB2312"/>
          <w:sz w:val="28"/>
          <w:szCs w:val="22"/>
        </w:rPr>
      </w:pPr>
      <w:r>
        <w:rPr>
          <w:rFonts w:ascii="仿宋_GB2312" w:eastAsia="仿宋_GB2312" w:hint="eastAsia"/>
          <w:sz w:val="28"/>
          <w:szCs w:val="22"/>
        </w:rPr>
        <w:t>北京属资源型重度缺水地区，2020年人均水资源量仅118m</w:t>
      </w:r>
      <w:r>
        <w:rPr>
          <w:rFonts w:ascii="仿宋_GB2312" w:eastAsia="仿宋_GB2312"/>
          <w:sz w:val="28"/>
          <w:szCs w:val="22"/>
          <w:vertAlign w:val="superscript"/>
        </w:rPr>
        <w:t>3</w:t>
      </w:r>
      <w:r>
        <w:rPr>
          <w:rFonts w:ascii="仿宋_GB2312" w:eastAsia="仿宋_GB2312" w:hint="eastAsia"/>
          <w:sz w:val="28"/>
          <w:szCs w:val="22"/>
        </w:rPr>
        <w:t>，远远低于国际人均1000m</w:t>
      </w:r>
      <w:r>
        <w:rPr>
          <w:rFonts w:ascii="仿宋_GB2312" w:eastAsia="仿宋_GB2312"/>
          <w:sz w:val="28"/>
          <w:szCs w:val="22"/>
          <w:vertAlign w:val="superscript"/>
        </w:rPr>
        <w:t>3</w:t>
      </w:r>
      <w:r>
        <w:rPr>
          <w:rFonts w:ascii="仿宋_GB2312" w:eastAsia="仿宋_GB2312" w:hint="eastAsia"/>
          <w:sz w:val="28"/>
          <w:szCs w:val="22"/>
        </w:rPr>
        <w:t>的缺水下限。2020年降水量为560mm，</w:t>
      </w:r>
      <w:r>
        <w:rPr>
          <w:rFonts w:ascii="仿宋_GB2312" w:eastAsia="仿宋_GB2312" w:hint="eastAsia"/>
          <w:sz w:val="28"/>
          <w:szCs w:val="22"/>
        </w:rPr>
        <w:lastRenderedPageBreak/>
        <w:t>比多年平均值585mm少4.3%。2020 年全市地表水资源量为8.25亿m</w:t>
      </w:r>
      <w:r>
        <w:rPr>
          <w:rFonts w:ascii="仿宋_GB2312" w:eastAsia="仿宋_GB2312"/>
          <w:sz w:val="28"/>
          <w:szCs w:val="22"/>
          <w:vertAlign w:val="superscript"/>
        </w:rPr>
        <w:t>3</w:t>
      </w:r>
      <w:r>
        <w:rPr>
          <w:rFonts w:ascii="仿宋_GB2312" w:eastAsia="仿宋_GB2312" w:hint="eastAsia"/>
          <w:sz w:val="28"/>
          <w:szCs w:val="22"/>
        </w:rPr>
        <w:t>，全市地下水资源量17.51亿m</w:t>
      </w:r>
      <w:r>
        <w:rPr>
          <w:rFonts w:ascii="仿宋_GB2312" w:eastAsia="仿宋_GB2312"/>
          <w:sz w:val="28"/>
          <w:szCs w:val="22"/>
          <w:vertAlign w:val="superscript"/>
        </w:rPr>
        <w:t>3</w:t>
      </w:r>
      <w:r>
        <w:rPr>
          <w:rFonts w:ascii="仿宋_GB2312" w:eastAsia="仿宋_GB2312" w:hint="eastAsia"/>
          <w:sz w:val="28"/>
          <w:szCs w:val="22"/>
        </w:rPr>
        <w:t>，水资源总量约25.8亿m</w:t>
      </w:r>
      <w:r>
        <w:rPr>
          <w:rFonts w:ascii="仿宋_GB2312" w:eastAsia="仿宋_GB2312"/>
          <w:sz w:val="28"/>
          <w:szCs w:val="22"/>
          <w:vertAlign w:val="superscript"/>
        </w:rPr>
        <w:t>3</w:t>
      </w:r>
      <w:r>
        <w:rPr>
          <w:rFonts w:ascii="仿宋_GB2312" w:eastAsia="仿宋_GB2312" w:hint="eastAsia"/>
          <w:sz w:val="28"/>
          <w:szCs w:val="22"/>
        </w:rPr>
        <w:t>，而全年用水量达40.6亿m</w:t>
      </w:r>
      <w:r>
        <w:rPr>
          <w:rFonts w:ascii="仿宋_GB2312" w:eastAsia="仿宋_GB2312"/>
          <w:sz w:val="28"/>
          <w:szCs w:val="22"/>
          <w:vertAlign w:val="superscript"/>
        </w:rPr>
        <w:t>3</w:t>
      </w:r>
      <w:r>
        <w:rPr>
          <w:rFonts w:ascii="仿宋_GB2312" w:eastAsia="仿宋_GB2312" w:hint="eastAsia"/>
          <w:sz w:val="28"/>
          <w:szCs w:val="22"/>
        </w:rPr>
        <w:t>，水资源缺口达14.8亿m</w:t>
      </w:r>
      <w:r>
        <w:rPr>
          <w:rFonts w:ascii="仿宋_GB2312" w:eastAsia="仿宋_GB2312"/>
          <w:sz w:val="28"/>
          <w:szCs w:val="22"/>
          <w:vertAlign w:val="superscript"/>
        </w:rPr>
        <w:t>3</w:t>
      </w:r>
      <w:r>
        <w:rPr>
          <w:rFonts w:ascii="仿宋_GB2312" w:eastAsia="仿宋_GB2312" w:hint="eastAsia"/>
          <w:sz w:val="28"/>
          <w:szCs w:val="22"/>
        </w:rPr>
        <w:t>左右。近年随着农业结构调整和节水技术的推广应用，农业用水量逐年下降，2005年，农业用水首次低于生活用水而成为第二用水大户，2020年北京农业用水量3.2亿方，占整个社会用水量的7.8%。农业用水以耕地灌溉用水为主，其中小麦用水量占绝大多数，根据1959～2018年近60年降水数据统计分析，冬小麦全生育期平均年均降水量仅为167.0mm，无法满足生产需求，必须进行补充灌溉。</w:t>
      </w:r>
    </w:p>
    <w:p w14:paraId="0DA923C4" w14:textId="77777777" w:rsidR="0047012F" w:rsidRDefault="00000000">
      <w:pPr>
        <w:ind w:firstLineChars="200" w:firstLine="560"/>
        <w:rPr>
          <w:rFonts w:ascii="仿宋_GB2312" w:eastAsia="仿宋_GB2312"/>
          <w:b/>
          <w:bCs/>
          <w:sz w:val="28"/>
          <w:szCs w:val="22"/>
        </w:rPr>
      </w:pPr>
      <w:r>
        <w:rPr>
          <w:rFonts w:ascii="仿宋_GB2312" w:eastAsia="仿宋_GB2312" w:hint="eastAsia"/>
          <w:b/>
          <w:bCs/>
          <w:sz w:val="28"/>
          <w:szCs w:val="22"/>
        </w:rPr>
        <w:t>（2）京郊小麦灌溉施肥设备不配套</w:t>
      </w:r>
    </w:p>
    <w:p w14:paraId="2CCDD60B" w14:textId="77777777" w:rsidR="0047012F" w:rsidRDefault="00000000">
      <w:pPr>
        <w:ind w:firstLineChars="200" w:firstLine="560"/>
        <w:rPr>
          <w:rFonts w:ascii="仿宋_GB2312" w:eastAsia="仿宋_GB2312"/>
          <w:sz w:val="28"/>
          <w:szCs w:val="22"/>
        </w:rPr>
      </w:pPr>
      <w:r>
        <w:rPr>
          <w:rFonts w:ascii="仿宋_GB2312" w:eastAsia="仿宋_GB2312" w:hint="eastAsia"/>
          <w:sz w:val="28"/>
          <w:szCs w:val="22"/>
        </w:rPr>
        <w:t>目前京郊小麦生产中存在灌溉施肥设备不配套的问题，水肥一体化技术应用率偏低，大部分农户春季追肥方式以撒施尿素为主，</w:t>
      </w:r>
      <w:proofErr w:type="gramStart"/>
      <w:r>
        <w:rPr>
          <w:rFonts w:ascii="仿宋_GB2312" w:eastAsia="仿宋_GB2312" w:hint="eastAsia"/>
          <w:sz w:val="28"/>
          <w:szCs w:val="22"/>
        </w:rPr>
        <w:t>人工撒肥均匀度</w:t>
      </w:r>
      <w:proofErr w:type="gramEnd"/>
      <w:r>
        <w:rPr>
          <w:rFonts w:ascii="仿宋_GB2312" w:eastAsia="仿宋_GB2312" w:hint="eastAsia"/>
          <w:sz w:val="28"/>
          <w:szCs w:val="22"/>
        </w:rPr>
        <w:t>低，后期麦田易出现“云彩苗”；春季“一炮轰”，追肥时期不合理，肥料投入量已远远高于当前小麦产量所需的肥料量，但是作物生长后期追肥难，造成易早衰，不利于产量积累；且肥料种类选用单一，只施用磷酸二铵或尿素，氮磷钾比例不合理，导致养分利用率偏低，增加了生产成本，过量养分淋洗也容易造成环境污染。</w:t>
      </w:r>
    </w:p>
    <w:p w14:paraId="6F99348B" w14:textId="77777777" w:rsidR="0047012F" w:rsidRDefault="00000000">
      <w:pPr>
        <w:ind w:firstLineChars="200" w:firstLine="560"/>
        <w:rPr>
          <w:rFonts w:ascii="仿宋_GB2312" w:eastAsia="仿宋_GB2312"/>
          <w:b/>
          <w:bCs/>
          <w:sz w:val="28"/>
          <w:szCs w:val="22"/>
        </w:rPr>
      </w:pPr>
      <w:r>
        <w:rPr>
          <w:rFonts w:ascii="仿宋_GB2312" w:eastAsia="仿宋_GB2312" w:hint="eastAsia"/>
          <w:b/>
          <w:bCs/>
          <w:sz w:val="28"/>
          <w:szCs w:val="22"/>
        </w:rPr>
        <w:t>（3）水肥一体化技术节水节肥效果突出</w:t>
      </w:r>
    </w:p>
    <w:p w14:paraId="63819C73" w14:textId="77777777" w:rsidR="0047012F" w:rsidRDefault="00000000">
      <w:pPr>
        <w:ind w:firstLineChars="200" w:firstLine="560"/>
        <w:rPr>
          <w:rFonts w:ascii="仿宋_GB2312" w:eastAsia="仿宋_GB2312"/>
          <w:sz w:val="28"/>
          <w:szCs w:val="22"/>
        </w:rPr>
      </w:pPr>
      <w:r>
        <w:rPr>
          <w:rFonts w:ascii="仿宋_GB2312" w:eastAsia="仿宋_GB2312" w:hint="eastAsia"/>
          <w:sz w:val="28"/>
          <w:szCs w:val="22"/>
        </w:rPr>
        <w:t>水肥一体化技术是借助施肥装置，将肥料溶于水中，沿滴灌、喷灌、微喷灌等节水设施的输水管路将水肥混合液输送到田间的灌溉施肥技术。根据作物生长对水分和养分的需求，同步进行水肥管理，保证作物在吸收水分的同时吸收养分，被认为是当今世界上水、</w:t>
      </w:r>
      <w:proofErr w:type="gramStart"/>
      <w:r>
        <w:rPr>
          <w:rFonts w:ascii="仿宋_GB2312" w:eastAsia="仿宋_GB2312" w:hint="eastAsia"/>
          <w:sz w:val="28"/>
          <w:szCs w:val="22"/>
        </w:rPr>
        <w:t>肥利用</w:t>
      </w:r>
      <w:proofErr w:type="gramEnd"/>
      <w:r>
        <w:rPr>
          <w:rFonts w:ascii="仿宋_GB2312" w:eastAsia="仿宋_GB2312" w:hint="eastAsia"/>
          <w:sz w:val="28"/>
          <w:szCs w:val="22"/>
        </w:rPr>
        <w:lastRenderedPageBreak/>
        <w:t>效率最佳的技术。主要有滴灌施肥技术、喷灌施肥、微喷施肥技术、小管出流施肥技术等。其主要特点是进行局部灌溉，它可以在灌水量、施肥量等方面都达到很高的精度，能够实现根据土壤墒情和作物长势精准灌溉施肥，具有良好的节水、节肥、省工和增产效果。</w:t>
      </w:r>
    </w:p>
    <w:p w14:paraId="7E5BCD9A" w14:textId="77777777" w:rsidR="0047012F" w:rsidRDefault="00000000">
      <w:pPr>
        <w:ind w:firstLineChars="200" w:firstLine="560"/>
        <w:rPr>
          <w:rFonts w:ascii="仿宋_GB2312" w:eastAsia="仿宋_GB2312"/>
          <w:b/>
          <w:bCs/>
          <w:sz w:val="28"/>
          <w:szCs w:val="22"/>
        </w:rPr>
      </w:pPr>
      <w:r>
        <w:rPr>
          <w:rFonts w:ascii="仿宋_GB2312" w:eastAsia="仿宋_GB2312" w:hint="eastAsia"/>
          <w:b/>
          <w:bCs/>
          <w:sz w:val="28"/>
          <w:szCs w:val="22"/>
        </w:rPr>
        <w:t>（4）政策优势分析</w:t>
      </w:r>
    </w:p>
    <w:p w14:paraId="22EB8761" w14:textId="77777777" w:rsidR="0047012F" w:rsidRDefault="00000000">
      <w:pPr>
        <w:ind w:firstLineChars="200" w:firstLine="560"/>
        <w:rPr>
          <w:rFonts w:ascii="仿宋_GB2312" w:eastAsia="仿宋_GB2312"/>
          <w:sz w:val="28"/>
          <w:szCs w:val="22"/>
        </w:rPr>
      </w:pPr>
      <w:r>
        <w:rPr>
          <w:rFonts w:ascii="仿宋_GB2312" w:eastAsia="仿宋_GB2312" w:hint="eastAsia"/>
          <w:sz w:val="28"/>
          <w:szCs w:val="22"/>
        </w:rPr>
        <w:t>国家和北京市政府高度重视农业节水工作，作为主推节水技术之一的水肥一体化技术，多次出现在国家和北京市政府的有关政策文件中。习近平总书记高度重视节水工作，2019年，在黄河流域生态保护和高质量发展座谈会上，提出要“坚持以水定城、以水定地、以水定人、以水定产，把水资源作为最大的刚性约束，合理规划人口、城市和产业发展，坚决抑制不合理用水需求”。2021年，在推进南水北调后续工程高质量发展座谈会上，提出要“坚持节水优先，把节水作为受水区的根本出路，长期深入做好节水工作”。推进节水型社会建设，全面提升水资源利用效率和效益，是深入贯彻落</w:t>
      </w:r>
      <w:proofErr w:type="gramStart"/>
      <w:r>
        <w:rPr>
          <w:rFonts w:ascii="仿宋_GB2312" w:eastAsia="仿宋_GB2312" w:hint="eastAsia"/>
          <w:sz w:val="28"/>
          <w:szCs w:val="22"/>
        </w:rPr>
        <w:t>实习近</w:t>
      </w:r>
      <w:proofErr w:type="gramEnd"/>
      <w:r>
        <w:rPr>
          <w:rFonts w:ascii="仿宋_GB2312" w:eastAsia="仿宋_GB2312" w:hint="eastAsia"/>
          <w:sz w:val="28"/>
          <w:szCs w:val="22"/>
        </w:rPr>
        <w:t>平生态文明思想、习近平总书记关于节水工作的重要讲话和指示批示精神的具体行动，是缓解我国水资源供需矛盾、</w:t>
      </w:r>
      <w:proofErr w:type="gramStart"/>
      <w:r>
        <w:rPr>
          <w:rFonts w:ascii="仿宋_GB2312" w:eastAsia="仿宋_GB2312" w:hint="eastAsia"/>
          <w:sz w:val="28"/>
          <w:szCs w:val="22"/>
        </w:rPr>
        <w:t>保障水</w:t>
      </w:r>
      <w:proofErr w:type="gramEnd"/>
      <w:r>
        <w:rPr>
          <w:rFonts w:ascii="仿宋_GB2312" w:eastAsia="仿宋_GB2312" w:hint="eastAsia"/>
          <w:sz w:val="28"/>
          <w:szCs w:val="22"/>
        </w:rPr>
        <w:t>安全的必然选择。</w:t>
      </w:r>
    </w:p>
    <w:p w14:paraId="40B56696" w14:textId="77777777" w:rsidR="0047012F" w:rsidRDefault="00000000">
      <w:pPr>
        <w:ind w:firstLineChars="200" w:firstLine="560"/>
        <w:rPr>
          <w:rFonts w:ascii="仿宋_GB2312" w:eastAsia="仿宋_GB2312"/>
          <w:b/>
          <w:bCs/>
          <w:sz w:val="28"/>
          <w:szCs w:val="22"/>
        </w:rPr>
      </w:pPr>
      <w:r>
        <w:rPr>
          <w:rFonts w:ascii="仿宋_GB2312" w:eastAsia="仿宋_GB2312" w:hint="eastAsia"/>
          <w:b/>
          <w:bCs/>
          <w:sz w:val="28"/>
          <w:szCs w:val="22"/>
        </w:rPr>
        <w:t>（二）意义</w:t>
      </w:r>
    </w:p>
    <w:p w14:paraId="0A2D53E0" w14:textId="77777777" w:rsidR="0047012F" w:rsidRDefault="00000000">
      <w:pPr>
        <w:ind w:firstLineChars="200" w:firstLine="560"/>
        <w:rPr>
          <w:rFonts w:ascii="仿宋_GB2312" w:eastAsia="仿宋_GB2312"/>
          <w:b/>
          <w:bCs/>
          <w:sz w:val="28"/>
          <w:szCs w:val="22"/>
        </w:rPr>
      </w:pPr>
      <w:r>
        <w:rPr>
          <w:rFonts w:ascii="仿宋_GB2312" w:eastAsia="仿宋_GB2312" w:hint="eastAsia"/>
          <w:b/>
          <w:bCs/>
          <w:sz w:val="28"/>
          <w:szCs w:val="22"/>
        </w:rPr>
        <w:t>（1）小麦是稳产保供“米袋子”重要作物</w:t>
      </w:r>
    </w:p>
    <w:p w14:paraId="07F76184" w14:textId="77777777" w:rsidR="0047012F" w:rsidRDefault="00000000">
      <w:pPr>
        <w:ind w:firstLineChars="200" w:firstLine="560"/>
        <w:rPr>
          <w:rFonts w:ascii="仿宋_GB2312" w:eastAsia="仿宋_GB2312"/>
          <w:sz w:val="28"/>
          <w:szCs w:val="22"/>
        </w:rPr>
      </w:pPr>
      <w:r>
        <w:rPr>
          <w:rFonts w:ascii="仿宋_GB2312" w:eastAsia="仿宋_GB2312" w:hint="eastAsia"/>
          <w:sz w:val="28"/>
          <w:szCs w:val="22"/>
        </w:rPr>
        <w:t>新冠疫情肆虐，全球局势动荡，粮食生产对于我国开新局、应变局、稳大局发挥了重要作用，小麦作为面食品的生产原料，是我国北方最主要的粮食作物之一，也是我市的主要口粮，关系到群众的基础日常生活。但是我市小麦产量却不容乐观，十三五期间，北京市小麦</w:t>
      </w:r>
      <w:r>
        <w:rPr>
          <w:rFonts w:ascii="仿宋_GB2312" w:eastAsia="仿宋_GB2312" w:hint="eastAsia"/>
          <w:sz w:val="28"/>
          <w:szCs w:val="22"/>
        </w:rPr>
        <w:lastRenderedPageBreak/>
        <w:t>单产徘徊在350-370公斤，同期全国小麦平均单产稳步提高，2020年全国小麦平均亩产382.8公斤，比北京市平均单产高3.9%，不过在高产地块，我市实现了小麦产量突破，特别是2022年亩产达到746.26公斤，显现出我市小麦增产的巨大潜力。</w:t>
      </w:r>
    </w:p>
    <w:p w14:paraId="3864ADB7" w14:textId="77777777" w:rsidR="0047012F" w:rsidRDefault="00000000">
      <w:pPr>
        <w:ind w:firstLineChars="200" w:firstLine="560"/>
        <w:rPr>
          <w:rFonts w:ascii="仿宋_GB2312" w:eastAsia="仿宋_GB2312"/>
          <w:b/>
          <w:bCs/>
          <w:sz w:val="28"/>
          <w:szCs w:val="22"/>
        </w:rPr>
      </w:pPr>
      <w:r>
        <w:rPr>
          <w:rFonts w:ascii="仿宋_GB2312" w:eastAsia="仿宋_GB2312" w:hint="eastAsia"/>
          <w:b/>
          <w:bCs/>
          <w:sz w:val="28"/>
          <w:szCs w:val="22"/>
        </w:rPr>
        <w:t>（2）节水设施全面覆盖为应用水肥一体化技术提供基础条件</w:t>
      </w:r>
    </w:p>
    <w:p w14:paraId="09691821" w14:textId="77777777" w:rsidR="0047012F" w:rsidRDefault="00000000">
      <w:pPr>
        <w:ind w:firstLineChars="200" w:firstLine="560"/>
        <w:rPr>
          <w:rFonts w:ascii="仿宋_GB2312" w:eastAsia="仿宋_GB2312"/>
          <w:sz w:val="28"/>
          <w:szCs w:val="22"/>
        </w:rPr>
      </w:pPr>
      <w:r>
        <w:rPr>
          <w:rFonts w:ascii="仿宋_GB2312" w:eastAsia="仿宋_GB2312" w:hint="eastAsia"/>
          <w:sz w:val="28"/>
          <w:szCs w:val="22"/>
        </w:rPr>
        <w:t xml:space="preserve"> 2014年北京市委市政府发布了《关于调结构转方式发展高效节水农业的意见》（京发[2014]16号），指出“加强农业高效节水灌溉设施建设,实现农业高效节水灌溉设施全覆盖”。2021年以来，北京市将高标准农田建设作为三农工作中的一项重点工程，发布了《北京市高标准农田建设规划（2021—2030年）》，按照《高标准农田建设通则》（GB/T30600-2014）要求，高标准农田必须保证高效节水措施全部到位。节水设施的推广覆盖为全面应用水肥一体化技术提供了前提条件，也使得制定水肥一体化相关技术标准，充分发挥各种硬件设施节水、节肥的效果，成为当前一项十分紧迫的任务。</w:t>
      </w:r>
    </w:p>
    <w:p w14:paraId="1FCF6AE1" w14:textId="77777777" w:rsidR="0047012F" w:rsidRDefault="00000000">
      <w:pPr>
        <w:ind w:firstLineChars="200" w:firstLine="560"/>
        <w:rPr>
          <w:rFonts w:ascii="仿宋_GB2312" w:eastAsia="仿宋_GB2312"/>
          <w:b/>
          <w:bCs/>
          <w:sz w:val="28"/>
          <w:szCs w:val="22"/>
        </w:rPr>
      </w:pPr>
      <w:r>
        <w:rPr>
          <w:rFonts w:ascii="仿宋_GB2312" w:eastAsia="仿宋_GB2312" w:hint="eastAsia"/>
          <w:b/>
          <w:bCs/>
          <w:sz w:val="28"/>
          <w:szCs w:val="22"/>
        </w:rPr>
        <w:t>（3）制定粮食作物水肥一体化标准的相关技术基础</w:t>
      </w:r>
    </w:p>
    <w:p w14:paraId="7343F8C0" w14:textId="77777777" w:rsidR="0047012F" w:rsidRDefault="00000000">
      <w:pPr>
        <w:ind w:firstLineChars="200" w:firstLine="560"/>
        <w:rPr>
          <w:rFonts w:ascii="仿宋_GB2312" w:eastAsia="仿宋_GB2312"/>
          <w:sz w:val="28"/>
          <w:szCs w:val="22"/>
        </w:rPr>
      </w:pPr>
      <w:r>
        <w:rPr>
          <w:rFonts w:ascii="仿宋_GB2312" w:eastAsia="仿宋_GB2312" w:hint="eastAsia"/>
          <w:sz w:val="28"/>
          <w:szCs w:val="22"/>
        </w:rPr>
        <w:t>北京市农业技术推广站从事水肥一体化技术的引进、试验和示范工作已经超过10年，多年来先后承担了农业部 “水肥一体化高效节水技术示范”、北京市农业农村局“2020年北京市主要农作物精准水肥一体化技术集成与推广”、“2019年生态农业建设—主要农作物高效节水技术集成示范”等项目，针对水肥投入过量所带来的资源浪费、环境污染等矛盾和问题，以节水与效益的统一为目标，以提高水分生产效率、肥料利用率为核心，组织开展了水肥一体化技术集成</w:t>
      </w:r>
      <w:r>
        <w:rPr>
          <w:rFonts w:ascii="仿宋_GB2312" w:eastAsia="仿宋_GB2312" w:hint="eastAsia"/>
          <w:sz w:val="28"/>
          <w:szCs w:val="22"/>
        </w:rPr>
        <w:lastRenderedPageBreak/>
        <w:t>与示范推广，取得了显著成效。连续多年在小麦生育季，以水肥一体化为核心技术路径，从优化灌水技术入手，改进了半固定喷灌、卷盘式喷灌机、圆形喷灌机等粮食作物灌溉系统，提高灌溉均匀度；从优化施肥设备入手，适配性集成了半固定式喷灌简易施肥装置、研发了卷盘式喷灌柱塞泵施肥装置和圆形喷灌机可调式施肥装置，提高水肥协同效率。在全市建立了小麦水肥一体化示范点34个，示范面积2.72万亩次，示范区小麦亩均增产59.6公斤，总增产162.1万公斤，节水51.2方/亩，总节水139.3方，节肥3.9公斤/亩，总节肥10.6万公斤，节本增收187元/亩，总节本增收508.6万元。</w:t>
      </w:r>
    </w:p>
    <w:p w14:paraId="11AAD4BD" w14:textId="77777777" w:rsidR="0047012F" w:rsidRDefault="00000000">
      <w:pPr>
        <w:numPr>
          <w:ilvl w:val="0"/>
          <w:numId w:val="2"/>
        </w:numPr>
        <w:ind w:left="0" w:firstLineChars="200" w:firstLine="640"/>
        <w:rPr>
          <w:rFonts w:ascii="黑体" w:eastAsia="黑体" w:hAnsi="黑体" w:cs="黑体"/>
          <w:sz w:val="32"/>
        </w:rPr>
      </w:pPr>
      <w:r>
        <w:rPr>
          <w:rFonts w:ascii="黑体" w:eastAsia="黑体" w:hAnsi="黑体" w:cs="黑体" w:hint="eastAsia"/>
          <w:sz w:val="32"/>
        </w:rPr>
        <w:t>主要工作过程。</w:t>
      </w:r>
    </w:p>
    <w:p w14:paraId="61B01B38" w14:textId="77777777" w:rsidR="0047012F" w:rsidRDefault="00000000">
      <w:pPr>
        <w:spacing w:line="360" w:lineRule="auto"/>
        <w:ind w:firstLineChars="200" w:firstLine="560"/>
        <w:rPr>
          <w:rFonts w:ascii="仿宋_GB2312" w:eastAsia="仿宋_GB2312"/>
          <w:sz w:val="28"/>
          <w:szCs w:val="22"/>
        </w:rPr>
      </w:pPr>
      <w:r>
        <w:rPr>
          <w:rFonts w:ascii="仿宋_GB2312" w:eastAsia="仿宋_GB2312" w:hint="eastAsia"/>
          <w:sz w:val="28"/>
          <w:szCs w:val="22"/>
        </w:rPr>
        <w:t>1、2022年8月-2022年9月，北京市农业技术推广站开始标准制定的准备工作，全面收集小麦喷灌水肥一体化相关国内外文献资料，包括正式颁布实行的国家标准、行业标准等，同时整理近年研究成果，结合相关文献资料，初步确定技术规程内容。</w:t>
      </w:r>
    </w:p>
    <w:p w14:paraId="3C1114E7" w14:textId="77777777" w:rsidR="0047012F" w:rsidRDefault="00000000">
      <w:pPr>
        <w:pStyle w:val="BodyText21"/>
        <w:spacing w:line="360" w:lineRule="auto"/>
        <w:ind w:firstLineChars="200" w:firstLine="560"/>
        <w:rPr>
          <w:rFonts w:ascii="仿宋_GB2312" w:eastAsia="仿宋_GB2312"/>
          <w:color w:val="auto"/>
          <w:sz w:val="28"/>
          <w:szCs w:val="22"/>
        </w:rPr>
      </w:pPr>
      <w:r>
        <w:rPr>
          <w:rFonts w:ascii="仿宋_GB2312" w:eastAsia="仿宋_GB2312" w:hint="eastAsia"/>
          <w:color w:val="auto"/>
          <w:sz w:val="28"/>
          <w:szCs w:val="22"/>
        </w:rPr>
        <w:t>2、2022年10月-2022年11月，项目组通过北京市农业农村局向北京市市场监督管理局提交了《小麦喷灌水肥一体化技术规程》的地方标准立项申请，获得立项批准，立项后，标准起草单位成立标准项目组，明确人员责任分工与任务要求。</w:t>
      </w:r>
    </w:p>
    <w:p w14:paraId="765BA86C" w14:textId="77777777" w:rsidR="0047012F" w:rsidRDefault="00000000">
      <w:pPr>
        <w:pStyle w:val="BodyText21"/>
        <w:spacing w:line="360" w:lineRule="auto"/>
        <w:ind w:firstLineChars="200" w:firstLine="560"/>
        <w:rPr>
          <w:rFonts w:ascii="仿宋_GB2312" w:eastAsia="仿宋_GB2312"/>
          <w:color w:val="auto"/>
          <w:sz w:val="28"/>
          <w:szCs w:val="22"/>
        </w:rPr>
      </w:pPr>
      <w:r>
        <w:rPr>
          <w:rFonts w:ascii="仿宋_GB2312" w:eastAsia="仿宋_GB2312" w:hint="eastAsia"/>
          <w:color w:val="auto"/>
          <w:sz w:val="28"/>
          <w:szCs w:val="22"/>
        </w:rPr>
        <w:t>3、2023年3月-2023年5月，征求意见。</w:t>
      </w:r>
    </w:p>
    <w:p w14:paraId="35593484" w14:textId="77777777" w:rsidR="0047012F" w:rsidRDefault="00000000">
      <w:pPr>
        <w:pStyle w:val="BodyText21"/>
        <w:spacing w:line="360" w:lineRule="auto"/>
        <w:ind w:firstLineChars="200" w:firstLine="560"/>
        <w:rPr>
          <w:rFonts w:ascii="仿宋_GB2312" w:eastAsia="仿宋_GB2312"/>
          <w:color w:val="auto"/>
          <w:sz w:val="28"/>
          <w:szCs w:val="22"/>
        </w:rPr>
      </w:pPr>
      <w:r>
        <w:rPr>
          <w:rFonts w:ascii="仿宋_GB2312" w:eastAsia="仿宋_GB2312" w:hint="eastAsia"/>
          <w:color w:val="auto"/>
          <w:sz w:val="28"/>
          <w:szCs w:val="22"/>
        </w:rPr>
        <w:t>4、2023年6月5日，由北京市农业农村局召开预审会。</w:t>
      </w:r>
    </w:p>
    <w:p w14:paraId="3A407A67" w14:textId="77777777" w:rsidR="0047012F" w:rsidRDefault="00000000">
      <w:pPr>
        <w:numPr>
          <w:ilvl w:val="0"/>
          <w:numId w:val="2"/>
        </w:numPr>
        <w:ind w:left="0" w:firstLineChars="200" w:firstLine="640"/>
        <w:rPr>
          <w:rFonts w:ascii="黑体" w:eastAsia="黑体" w:hAnsi="黑体" w:cs="黑体"/>
          <w:sz w:val="32"/>
        </w:rPr>
      </w:pPr>
      <w:r>
        <w:rPr>
          <w:rFonts w:ascii="黑体" w:eastAsia="黑体" w:hAnsi="黑体" w:cs="黑体" w:hint="eastAsia"/>
          <w:sz w:val="32"/>
        </w:rPr>
        <w:t>制定标准的原则和依据，与现行法律、法规、标</w:t>
      </w:r>
      <w:r>
        <w:rPr>
          <w:rFonts w:ascii="黑体" w:eastAsia="黑体" w:hAnsi="黑体" w:cs="黑体" w:hint="eastAsia"/>
          <w:sz w:val="32"/>
        </w:rPr>
        <w:lastRenderedPageBreak/>
        <w:t>准的关系。</w:t>
      </w:r>
    </w:p>
    <w:p w14:paraId="56A4A213" w14:textId="77777777" w:rsidR="0047012F" w:rsidRDefault="00000000">
      <w:pPr>
        <w:numPr>
          <w:ilvl w:val="0"/>
          <w:numId w:val="3"/>
        </w:numPr>
        <w:spacing w:line="360" w:lineRule="auto"/>
        <w:ind w:firstLineChars="200" w:firstLine="560"/>
        <w:rPr>
          <w:rFonts w:ascii="仿宋_GB2312" w:eastAsia="仿宋_GB2312"/>
          <w:b/>
          <w:bCs/>
          <w:sz w:val="28"/>
          <w:szCs w:val="22"/>
        </w:rPr>
      </w:pPr>
      <w:r>
        <w:rPr>
          <w:rFonts w:ascii="仿宋_GB2312" w:eastAsia="仿宋_GB2312" w:hint="eastAsia"/>
          <w:b/>
          <w:bCs/>
          <w:sz w:val="28"/>
          <w:szCs w:val="22"/>
        </w:rPr>
        <w:t>标准编制原则</w:t>
      </w:r>
    </w:p>
    <w:p w14:paraId="04EA98E2" w14:textId="77777777" w:rsidR="0047012F" w:rsidRDefault="00000000">
      <w:pPr>
        <w:pStyle w:val="BodyText21"/>
        <w:spacing w:line="360" w:lineRule="auto"/>
        <w:ind w:leftChars="200" w:left="420" w:firstLineChars="200" w:firstLine="560"/>
        <w:rPr>
          <w:rFonts w:ascii="仿宋_GB2312" w:eastAsia="仿宋_GB2312"/>
          <w:color w:val="auto"/>
          <w:sz w:val="28"/>
          <w:szCs w:val="22"/>
        </w:rPr>
      </w:pPr>
      <w:r>
        <w:rPr>
          <w:rFonts w:ascii="仿宋_GB2312" w:eastAsia="仿宋_GB2312" w:hint="eastAsia"/>
          <w:color w:val="auto"/>
          <w:sz w:val="28"/>
          <w:szCs w:val="22"/>
        </w:rPr>
        <w:t>深入贯彻国家和行业相关标准，标准编制过程中，始终体现科学性、先进性和可行性，促进小麦稳产增产，水肥资源高效利用。</w:t>
      </w:r>
    </w:p>
    <w:p w14:paraId="36F7D1BF" w14:textId="77777777" w:rsidR="0047012F" w:rsidRDefault="00000000">
      <w:pPr>
        <w:pStyle w:val="BodyText21"/>
        <w:numPr>
          <w:ilvl w:val="0"/>
          <w:numId w:val="3"/>
        </w:numPr>
        <w:spacing w:line="360" w:lineRule="auto"/>
        <w:ind w:firstLineChars="200" w:firstLine="560"/>
        <w:rPr>
          <w:rFonts w:ascii="仿宋_GB2312" w:eastAsia="仿宋_GB2312"/>
          <w:b/>
          <w:bCs/>
          <w:color w:val="auto"/>
          <w:sz w:val="28"/>
          <w:szCs w:val="22"/>
        </w:rPr>
      </w:pPr>
      <w:r>
        <w:rPr>
          <w:rFonts w:ascii="仿宋_GB2312" w:eastAsia="仿宋_GB2312" w:hint="eastAsia"/>
          <w:b/>
          <w:bCs/>
          <w:color w:val="auto"/>
          <w:sz w:val="28"/>
          <w:szCs w:val="22"/>
        </w:rPr>
        <w:t>标准编制依据</w:t>
      </w:r>
    </w:p>
    <w:p w14:paraId="5C365657" w14:textId="77777777" w:rsidR="0047012F" w:rsidRDefault="00000000">
      <w:pPr>
        <w:pStyle w:val="BodyText21"/>
        <w:spacing w:line="360" w:lineRule="auto"/>
        <w:ind w:firstLineChars="200" w:firstLine="560"/>
        <w:rPr>
          <w:rFonts w:ascii="仿宋_GB2312" w:eastAsia="仿宋_GB2312"/>
          <w:color w:val="auto"/>
          <w:sz w:val="28"/>
          <w:szCs w:val="22"/>
        </w:rPr>
      </w:pPr>
      <w:r>
        <w:rPr>
          <w:rFonts w:ascii="仿宋_GB2312" w:eastAsia="仿宋_GB2312" w:hint="eastAsia"/>
          <w:color w:val="auto"/>
          <w:sz w:val="28"/>
          <w:szCs w:val="22"/>
        </w:rPr>
        <w:t>本标准参考各现行相关标准编制。</w:t>
      </w:r>
    </w:p>
    <w:p w14:paraId="2B9B2C29" w14:textId="77777777" w:rsidR="0047012F" w:rsidRDefault="00000000">
      <w:pPr>
        <w:spacing w:line="360" w:lineRule="auto"/>
        <w:ind w:firstLineChars="200" w:firstLine="560"/>
        <w:rPr>
          <w:rFonts w:ascii="仿宋_GB2312" w:eastAsia="仿宋_GB2312"/>
          <w:sz w:val="28"/>
          <w:szCs w:val="22"/>
        </w:rPr>
      </w:pPr>
      <w:r>
        <w:rPr>
          <w:rFonts w:ascii="仿宋_GB2312" w:eastAsia="仿宋_GB2312" w:hint="eastAsia"/>
          <w:sz w:val="28"/>
          <w:szCs w:val="22"/>
        </w:rPr>
        <w:t xml:space="preserve">GB 5084  农田灌溉水质标准 </w:t>
      </w:r>
    </w:p>
    <w:p w14:paraId="7AF9F197" w14:textId="77777777" w:rsidR="0047012F" w:rsidRDefault="00000000">
      <w:pPr>
        <w:spacing w:line="360" w:lineRule="auto"/>
        <w:ind w:firstLineChars="200" w:firstLine="560"/>
        <w:rPr>
          <w:rFonts w:ascii="仿宋_GB2312" w:eastAsia="仿宋_GB2312"/>
          <w:sz w:val="28"/>
          <w:szCs w:val="22"/>
        </w:rPr>
      </w:pPr>
      <w:r>
        <w:rPr>
          <w:rFonts w:ascii="仿宋_GB2312" w:eastAsia="仿宋_GB2312" w:hint="eastAsia"/>
          <w:sz w:val="28"/>
          <w:szCs w:val="22"/>
        </w:rPr>
        <w:t>GB/T 50085  喷灌工程技术规范</w:t>
      </w:r>
    </w:p>
    <w:p w14:paraId="61B61FBF" w14:textId="77777777" w:rsidR="0047012F" w:rsidRDefault="00000000">
      <w:pPr>
        <w:spacing w:line="360" w:lineRule="auto"/>
        <w:ind w:firstLineChars="200" w:firstLine="560"/>
        <w:rPr>
          <w:rFonts w:ascii="仿宋_GB2312" w:eastAsia="仿宋_GB2312"/>
          <w:sz w:val="28"/>
          <w:szCs w:val="22"/>
        </w:rPr>
      </w:pPr>
      <w:r>
        <w:rPr>
          <w:rFonts w:ascii="仿宋_GB2312" w:eastAsia="仿宋_GB2312" w:hint="eastAsia"/>
          <w:sz w:val="28"/>
          <w:szCs w:val="22"/>
        </w:rPr>
        <w:t>GB/T 50363  节水灌溉工程技术规范</w:t>
      </w:r>
    </w:p>
    <w:p w14:paraId="22ECBFD3" w14:textId="77777777" w:rsidR="0047012F" w:rsidRDefault="00000000">
      <w:pPr>
        <w:spacing w:line="360" w:lineRule="auto"/>
        <w:ind w:firstLineChars="200" w:firstLine="560"/>
        <w:rPr>
          <w:rFonts w:ascii="仿宋_GB2312" w:eastAsia="仿宋_GB2312"/>
          <w:sz w:val="28"/>
          <w:szCs w:val="22"/>
        </w:rPr>
      </w:pPr>
      <w:r>
        <w:rPr>
          <w:rFonts w:ascii="仿宋_GB2312" w:eastAsia="仿宋_GB2312" w:hint="eastAsia"/>
          <w:sz w:val="28"/>
          <w:szCs w:val="22"/>
        </w:rPr>
        <w:t>JB/T 6280  圆形（中心支轴式）和平移式喷灌机</w:t>
      </w:r>
    </w:p>
    <w:p w14:paraId="6F87C888" w14:textId="77777777" w:rsidR="0047012F" w:rsidRDefault="00000000">
      <w:pPr>
        <w:spacing w:line="360" w:lineRule="auto"/>
        <w:ind w:firstLineChars="200" w:firstLine="560"/>
        <w:rPr>
          <w:rFonts w:ascii="仿宋_GB2312" w:eastAsia="仿宋_GB2312"/>
          <w:sz w:val="28"/>
          <w:szCs w:val="22"/>
        </w:rPr>
      </w:pPr>
      <w:r>
        <w:rPr>
          <w:rFonts w:ascii="仿宋_GB2312" w:eastAsia="仿宋_GB2312" w:hint="eastAsia"/>
          <w:sz w:val="28"/>
          <w:szCs w:val="22"/>
        </w:rPr>
        <w:t>NY/T 496  肥料合理使用准则通则</w:t>
      </w:r>
    </w:p>
    <w:p w14:paraId="4725032A" w14:textId="77777777" w:rsidR="0047012F" w:rsidRDefault="00000000">
      <w:pPr>
        <w:spacing w:line="360" w:lineRule="auto"/>
        <w:ind w:firstLineChars="200" w:firstLine="560"/>
        <w:rPr>
          <w:rFonts w:ascii="仿宋_GB2312" w:eastAsia="仿宋_GB2312"/>
          <w:sz w:val="28"/>
          <w:szCs w:val="22"/>
        </w:rPr>
      </w:pPr>
      <w:r>
        <w:rPr>
          <w:rFonts w:ascii="仿宋_GB2312" w:eastAsia="仿宋_GB2312" w:hint="eastAsia"/>
          <w:sz w:val="28"/>
          <w:szCs w:val="22"/>
        </w:rPr>
        <w:t>NY/T 1107  大量元素水溶肥料</w:t>
      </w:r>
    </w:p>
    <w:p w14:paraId="71F7428A" w14:textId="77777777" w:rsidR="0047012F" w:rsidRDefault="00000000">
      <w:pPr>
        <w:spacing w:line="360" w:lineRule="auto"/>
        <w:ind w:firstLineChars="200" w:firstLine="560"/>
        <w:rPr>
          <w:rFonts w:ascii="仿宋_GB2312" w:eastAsia="仿宋_GB2312"/>
          <w:sz w:val="28"/>
          <w:szCs w:val="22"/>
        </w:rPr>
      </w:pPr>
      <w:r>
        <w:rPr>
          <w:rFonts w:ascii="仿宋_GB2312" w:eastAsia="仿宋_GB2312" w:hint="eastAsia"/>
          <w:sz w:val="28"/>
          <w:szCs w:val="22"/>
        </w:rPr>
        <w:t>NY/T 1428  微量元素水溶肥料</w:t>
      </w:r>
    </w:p>
    <w:p w14:paraId="35C091A2" w14:textId="77777777" w:rsidR="0047012F" w:rsidRDefault="00000000">
      <w:pPr>
        <w:spacing w:line="360" w:lineRule="auto"/>
        <w:ind w:firstLineChars="200" w:firstLine="560"/>
        <w:rPr>
          <w:rFonts w:ascii="仿宋_GB2312" w:eastAsia="仿宋_GB2312"/>
          <w:sz w:val="28"/>
          <w:szCs w:val="22"/>
        </w:rPr>
      </w:pPr>
      <w:r>
        <w:rPr>
          <w:rFonts w:ascii="仿宋_GB2312" w:eastAsia="仿宋_GB2312" w:hint="eastAsia"/>
          <w:sz w:val="28"/>
          <w:szCs w:val="22"/>
        </w:rPr>
        <w:t>NY/T 2623 灌溉施肥技术规范</w:t>
      </w:r>
    </w:p>
    <w:p w14:paraId="379FC41A" w14:textId="77777777" w:rsidR="0047012F" w:rsidRDefault="00000000">
      <w:pPr>
        <w:spacing w:line="360" w:lineRule="auto"/>
        <w:ind w:firstLineChars="200" w:firstLine="560"/>
        <w:rPr>
          <w:rFonts w:ascii="仿宋_GB2312" w:eastAsia="仿宋_GB2312"/>
          <w:sz w:val="28"/>
          <w:szCs w:val="22"/>
        </w:rPr>
      </w:pPr>
      <w:r>
        <w:rPr>
          <w:rFonts w:ascii="仿宋_GB2312" w:eastAsia="仿宋_GB2312" w:hint="eastAsia"/>
          <w:sz w:val="28"/>
          <w:szCs w:val="22"/>
        </w:rPr>
        <w:t>NY/T 2624  水肥一体化技术规范 总则</w:t>
      </w:r>
    </w:p>
    <w:p w14:paraId="0732E188" w14:textId="77777777" w:rsidR="0047012F" w:rsidRDefault="00000000">
      <w:pPr>
        <w:spacing w:line="360" w:lineRule="auto"/>
        <w:ind w:firstLineChars="200" w:firstLine="560"/>
        <w:rPr>
          <w:rFonts w:ascii="仿宋_GB2312" w:eastAsia="仿宋_GB2312"/>
          <w:sz w:val="28"/>
          <w:szCs w:val="22"/>
        </w:rPr>
      </w:pPr>
      <w:r>
        <w:rPr>
          <w:rFonts w:ascii="仿宋_GB2312" w:eastAsia="仿宋_GB2312" w:hint="eastAsia"/>
          <w:sz w:val="28"/>
          <w:szCs w:val="22"/>
        </w:rPr>
        <w:t xml:space="preserve">NY/T 2911 测土配方施肥技术规程 </w:t>
      </w:r>
    </w:p>
    <w:p w14:paraId="4602C7D7" w14:textId="77777777" w:rsidR="0047012F" w:rsidRDefault="00000000">
      <w:pPr>
        <w:spacing w:line="360" w:lineRule="auto"/>
        <w:ind w:firstLineChars="200" w:firstLine="560"/>
        <w:rPr>
          <w:rFonts w:ascii="仿宋_GB2312" w:eastAsia="仿宋_GB2312"/>
          <w:sz w:val="28"/>
          <w:szCs w:val="22"/>
        </w:rPr>
      </w:pPr>
      <w:r>
        <w:rPr>
          <w:rFonts w:ascii="仿宋_GB2312" w:eastAsia="仿宋_GB2312" w:hint="eastAsia"/>
          <w:sz w:val="28"/>
          <w:szCs w:val="22"/>
        </w:rPr>
        <w:t>NY/T 525 有机肥料</w:t>
      </w:r>
    </w:p>
    <w:p w14:paraId="73B96E1A" w14:textId="77777777" w:rsidR="0047012F" w:rsidRDefault="00000000">
      <w:pPr>
        <w:spacing w:line="360" w:lineRule="auto"/>
        <w:ind w:firstLineChars="200" w:firstLine="560"/>
        <w:rPr>
          <w:rFonts w:ascii="仿宋_GB2312" w:eastAsia="仿宋_GB2312"/>
          <w:sz w:val="28"/>
          <w:szCs w:val="22"/>
        </w:rPr>
      </w:pPr>
      <w:r>
        <w:rPr>
          <w:rFonts w:ascii="仿宋_GB2312" w:eastAsia="仿宋_GB2312" w:hint="eastAsia"/>
          <w:sz w:val="28"/>
          <w:szCs w:val="22"/>
        </w:rPr>
        <w:t>SL 550  灌溉用施肥装置基本参数及技术条件</w:t>
      </w:r>
    </w:p>
    <w:p w14:paraId="2BC1C3F9" w14:textId="77777777" w:rsidR="0047012F" w:rsidRDefault="00000000">
      <w:pPr>
        <w:spacing w:line="360" w:lineRule="auto"/>
        <w:ind w:firstLineChars="200" w:firstLine="560"/>
        <w:rPr>
          <w:rFonts w:ascii="仿宋_GB2312" w:eastAsia="仿宋_GB2312"/>
          <w:b/>
          <w:bCs/>
          <w:sz w:val="28"/>
          <w:szCs w:val="22"/>
        </w:rPr>
      </w:pPr>
      <w:r>
        <w:rPr>
          <w:rFonts w:ascii="仿宋_GB2312" w:eastAsia="仿宋_GB2312" w:hint="eastAsia"/>
          <w:b/>
          <w:bCs/>
          <w:sz w:val="28"/>
          <w:szCs w:val="22"/>
        </w:rPr>
        <w:t>（三）与现行法律、法规、标准的关系</w:t>
      </w:r>
    </w:p>
    <w:p w14:paraId="4387E9EB" w14:textId="77777777" w:rsidR="0047012F" w:rsidRDefault="00000000">
      <w:pPr>
        <w:spacing w:line="360" w:lineRule="auto"/>
        <w:ind w:firstLineChars="200" w:firstLine="560"/>
        <w:rPr>
          <w:rFonts w:ascii="仿宋_GB2312" w:eastAsia="仿宋_GB2312"/>
          <w:sz w:val="28"/>
          <w:szCs w:val="22"/>
        </w:rPr>
      </w:pPr>
      <w:r>
        <w:rPr>
          <w:rFonts w:ascii="仿宋_GB2312" w:eastAsia="仿宋_GB2312" w:hint="eastAsia"/>
          <w:sz w:val="28"/>
          <w:szCs w:val="22"/>
        </w:rPr>
        <w:t>NY/T 2624《水肥一体化技术规范 总则》中仅规定了相关的专</w:t>
      </w:r>
      <w:r>
        <w:rPr>
          <w:rFonts w:ascii="仿宋_GB2312" w:eastAsia="仿宋_GB2312" w:hint="eastAsia"/>
          <w:sz w:val="28"/>
          <w:szCs w:val="22"/>
        </w:rPr>
        <w:lastRenderedPageBreak/>
        <w:t>业术语，没有具体的灌溉量和施肥量。NY/T 3553《华北平原冬小麦微喷带水肥一体化技术规程》中仅规定了华北平原冬小麦微喷带水肥一体化系统及技术模式，对于半固定喷灌和圆形喷灌机等节水灌溉方式的水肥一体化技术内容没有涉及。而且，北京地处北部冬麦区</w:t>
      </w:r>
      <w:proofErr w:type="gramStart"/>
      <w:r>
        <w:rPr>
          <w:rFonts w:ascii="仿宋_GB2312" w:eastAsia="仿宋_GB2312" w:hint="eastAsia"/>
          <w:sz w:val="28"/>
          <w:szCs w:val="22"/>
        </w:rPr>
        <w:t>最</w:t>
      </w:r>
      <w:proofErr w:type="gramEnd"/>
      <w:r>
        <w:rPr>
          <w:rFonts w:ascii="仿宋_GB2312" w:eastAsia="仿宋_GB2312" w:hint="eastAsia"/>
          <w:sz w:val="28"/>
          <w:szCs w:val="22"/>
        </w:rPr>
        <w:t>边缘，小麦生长发育与其他地方差异较大，灌溉施肥制度需要结合本地气候特点制定。</w:t>
      </w:r>
    </w:p>
    <w:p w14:paraId="5025BAA1" w14:textId="77777777" w:rsidR="0047012F" w:rsidRDefault="00000000">
      <w:pPr>
        <w:numPr>
          <w:ilvl w:val="0"/>
          <w:numId w:val="2"/>
        </w:numPr>
        <w:ind w:left="0" w:firstLineChars="200" w:firstLine="640"/>
        <w:rPr>
          <w:rFonts w:ascii="黑体" w:eastAsia="黑体" w:hAnsi="黑体" w:cs="黑体"/>
          <w:sz w:val="32"/>
        </w:rPr>
      </w:pPr>
      <w:r>
        <w:rPr>
          <w:rFonts w:ascii="黑体" w:eastAsia="黑体" w:hAnsi="黑体" w:cs="黑体" w:hint="eastAsia"/>
          <w:sz w:val="32"/>
        </w:rPr>
        <w:t>主要条款的说明，主要技术指标、参数、实验验证的论述。</w:t>
      </w:r>
    </w:p>
    <w:p w14:paraId="52759FA8" w14:textId="77777777" w:rsidR="0047012F" w:rsidRDefault="00000000">
      <w:pPr>
        <w:numPr>
          <w:ilvl w:val="0"/>
          <w:numId w:val="4"/>
        </w:numPr>
        <w:spacing w:line="360" w:lineRule="auto"/>
        <w:ind w:firstLineChars="200" w:firstLine="560"/>
        <w:rPr>
          <w:rFonts w:ascii="仿宋_GB2312" w:eastAsia="仿宋_GB2312"/>
          <w:b/>
          <w:bCs/>
          <w:sz w:val="28"/>
          <w:szCs w:val="22"/>
        </w:rPr>
      </w:pPr>
      <w:r>
        <w:rPr>
          <w:rFonts w:ascii="仿宋_GB2312" w:eastAsia="仿宋_GB2312" w:hint="eastAsia"/>
          <w:b/>
          <w:bCs/>
          <w:sz w:val="28"/>
          <w:szCs w:val="22"/>
        </w:rPr>
        <w:t>主要条款说明</w:t>
      </w:r>
    </w:p>
    <w:p w14:paraId="057AE2D3" w14:textId="77777777" w:rsidR="0047012F" w:rsidRPr="00CE1F44" w:rsidRDefault="00000000">
      <w:pPr>
        <w:pStyle w:val="BodyText21"/>
        <w:ind w:firstLineChars="200" w:firstLine="560"/>
        <w:rPr>
          <w:rFonts w:ascii="仿宋_GB2312" w:eastAsia="仿宋_GB2312"/>
          <w:color w:val="auto"/>
          <w:sz w:val="28"/>
          <w:szCs w:val="22"/>
        </w:rPr>
      </w:pPr>
      <w:r>
        <w:rPr>
          <w:rFonts w:ascii="仿宋_GB2312" w:eastAsia="仿宋_GB2312" w:hint="eastAsia"/>
          <w:color w:val="auto"/>
          <w:sz w:val="28"/>
          <w:szCs w:val="22"/>
        </w:rPr>
        <w:t>根据GB/T 1.1 2020的规定，标准化工作组确定了《小麦喷灌水肥一体化技术规程》的结</w:t>
      </w:r>
      <w:r w:rsidRPr="00CE1F44">
        <w:rPr>
          <w:rFonts w:ascii="仿宋_GB2312" w:eastAsia="仿宋_GB2312" w:hint="eastAsia"/>
          <w:color w:val="auto"/>
          <w:sz w:val="28"/>
          <w:szCs w:val="22"/>
        </w:rPr>
        <w:t>构和内容项目设置，包括资料性概述要素（封面和前言）、规范性一般要素（名称、范围和</w:t>
      </w:r>
      <w:r w:rsidRPr="00CE1F44">
        <w:rPr>
          <w:rFonts w:ascii="仿宋_GB2312" w:eastAsia="仿宋_GB2312"/>
          <w:color w:val="auto"/>
          <w:sz w:val="28"/>
          <w:szCs w:val="22"/>
        </w:rPr>
        <w:t>规范性引用文件</w:t>
      </w:r>
      <w:r w:rsidRPr="00CE1F44">
        <w:rPr>
          <w:rFonts w:ascii="仿宋_GB2312" w:eastAsia="仿宋_GB2312" w:hint="eastAsia"/>
          <w:color w:val="auto"/>
          <w:sz w:val="28"/>
          <w:szCs w:val="22"/>
        </w:rPr>
        <w:t>）和规范性技术要素（</w:t>
      </w:r>
      <w:r w:rsidRPr="00CE1F44">
        <w:rPr>
          <w:rFonts w:ascii="仿宋_GB2312" w:eastAsia="仿宋_GB2312"/>
          <w:color w:val="auto"/>
          <w:sz w:val="28"/>
          <w:szCs w:val="22"/>
        </w:rPr>
        <w:t>术语和定义</w:t>
      </w:r>
      <w:r w:rsidRPr="00CE1F44">
        <w:rPr>
          <w:rFonts w:ascii="仿宋_GB2312" w:eastAsia="仿宋_GB2312" w:hint="eastAsia"/>
          <w:color w:val="auto"/>
          <w:sz w:val="28"/>
          <w:szCs w:val="22"/>
        </w:rPr>
        <w:t>、喷灌水肥一体化系统、灌溉管理、施肥管理、灌溉施肥和配套栽培技术要点），其中规范性技术要素中各条款，是依据水肥一体化技术要素逐项展开，便于生产人员采用。</w:t>
      </w:r>
      <w:r w:rsidRPr="00CE1F44">
        <w:rPr>
          <w:rFonts w:ascii="仿宋_GB2312" w:eastAsia="仿宋_GB2312"/>
          <w:color w:val="auto"/>
          <w:sz w:val="28"/>
          <w:szCs w:val="22"/>
        </w:rPr>
        <w:t>本标准包括</w:t>
      </w:r>
      <w:r w:rsidRPr="00CE1F44">
        <w:rPr>
          <w:rFonts w:ascii="仿宋_GB2312" w:eastAsia="仿宋_GB2312" w:hint="eastAsia"/>
          <w:color w:val="auto"/>
          <w:sz w:val="28"/>
          <w:szCs w:val="22"/>
        </w:rPr>
        <w:t>8</w:t>
      </w:r>
      <w:r w:rsidRPr="00CE1F44">
        <w:rPr>
          <w:rFonts w:ascii="仿宋_GB2312" w:eastAsia="仿宋_GB2312"/>
          <w:color w:val="auto"/>
          <w:sz w:val="28"/>
          <w:szCs w:val="22"/>
        </w:rPr>
        <w:t>个章节，具体如下：</w:t>
      </w:r>
    </w:p>
    <w:p w14:paraId="565C769E" w14:textId="77777777" w:rsidR="0047012F" w:rsidRPr="00CE1F44" w:rsidRDefault="00000000">
      <w:pPr>
        <w:pStyle w:val="BodyText21"/>
        <w:numPr>
          <w:ilvl w:val="0"/>
          <w:numId w:val="5"/>
        </w:numPr>
        <w:ind w:firstLineChars="200" w:firstLine="560"/>
        <w:rPr>
          <w:rFonts w:ascii="仿宋_GB2312" w:eastAsia="仿宋_GB2312"/>
          <w:color w:val="auto"/>
          <w:sz w:val="28"/>
          <w:szCs w:val="22"/>
        </w:rPr>
      </w:pPr>
      <w:r w:rsidRPr="00CE1F44">
        <w:rPr>
          <w:rFonts w:ascii="仿宋_GB2312" w:eastAsia="仿宋_GB2312" w:hint="eastAsia"/>
          <w:color w:val="auto"/>
          <w:sz w:val="28"/>
          <w:szCs w:val="22"/>
        </w:rPr>
        <w:t>第1章 范围</w:t>
      </w:r>
    </w:p>
    <w:p w14:paraId="343F6D8E" w14:textId="77777777" w:rsidR="0047012F" w:rsidRPr="00CE1F44" w:rsidRDefault="00000000">
      <w:pPr>
        <w:pStyle w:val="BodyText21"/>
        <w:ind w:firstLineChars="200" w:firstLine="560"/>
        <w:rPr>
          <w:rFonts w:ascii="仿宋_GB2312" w:eastAsia="仿宋_GB2312"/>
          <w:color w:val="auto"/>
          <w:sz w:val="28"/>
          <w:szCs w:val="22"/>
        </w:rPr>
      </w:pPr>
      <w:r w:rsidRPr="00CE1F44">
        <w:rPr>
          <w:rFonts w:ascii="仿宋_GB2312" w:eastAsia="仿宋_GB2312" w:hint="eastAsia"/>
          <w:color w:val="auto"/>
          <w:sz w:val="28"/>
          <w:szCs w:val="22"/>
        </w:rPr>
        <w:t>主要说明了标准的主要技术内容和适用范围，明确本标准针对小麦喷灌水肥一体化包含的关键技术环节，规定了喷灌施肥系统、灌溉管理、施肥管理、灌溉施肥和配套栽培技术要点，和适宜地区的具体要求。</w:t>
      </w:r>
    </w:p>
    <w:p w14:paraId="005AB87B" w14:textId="77777777" w:rsidR="0047012F" w:rsidRPr="00CE1F44" w:rsidRDefault="00000000">
      <w:pPr>
        <w:pStyle w:val="BodyText21"/>
        <w:numPr>
          <w:ilvl w:val="0"/>
          <w:numId w:val="5"/>
        </w:numPr>
        <w:ind w:firstLineChars="200" w:firstLine="560"/>
        <w:rPr>
          <w:rFonts w:ascii="仿宋_GB2312" w:eastAsia="仿宋_GB2312"/>
          <w:color w:val="auto"/>
          <w:sz w:val="28"/>
          <w:szCs w:val="22"/>
        </w:rPr>
      </w:pPr>
      <w:r w:rsidRPr="00CE1F44">
        <w:rPr>
          <w:rFonts w:ascii="仿宋_GB2312" w:eastAsia="仿宋_GB2312" w:hint="eastAsia"/>
          <w:color w:val="auto"/>
          <w:sz w:val="28"/>
          <w:szCs w:val="22"/>
        </w:rPr>
        <w:t>第2章 规范性引用文件</w:t>
      </w:r>
    </w:p>
    <w:p w14:paraId="3363FCA2" w14:textId="77777777" w:rsidR="0047012F" w:rsidRPr="00CE1F44" w:rsidRDefault="00000000">
      <w:pPr>
        <w:pStyle w:val="BodyText21"/>
        <w:ind w:firstLineChars="200" w:firstLine="560"/>
        <w:rPr>
          <w:rFonts w:ascii="仿宋_GB2312" w:eastAsia="仿宋_GB2312"/>
          <w:color w:val="auto"/>
          <w:sz w:val="28"/>
          <w:szCs w:val="22"/>
        </w:rPr>
      </w:pPr>
      <w:r w:rsidRPr="00CE1F44">
        <w:rPr>
          <w:rFonts w:ascii="仿宋_GB2312" w:eastAsia="仿宋_GB2312" w:hint="eastAsia"/>
          <w:color w:val="auto"/>
          <w:sz w:val="28"/>
          <w:szCs w:val="22"/>
        </w:rPr>
        <w:t>主要说明标准引用的其它相关标准和文件，涵盖了农田灌溉水质、节水灌溉工程和水溶肥料等相关标准。</w:t>
      </w:r>
    </w:p>
    <w:p w14:paraId="1DDFA44D" w14:textId="77777777" w:rsidR="0047012F" w:rsidRPr="00CE1F44" w:rsidRDefault="00000000">
      <w:pPr>
        <w:pStyle w:val="BodyText21"/>
        <w:numPr>
          <w:ilvl w:val="0"/>
          <w:numId w:val="5"/>
        </w:numPr>
        <w:ind w:firstLineChars="200" w:firstLine="560"/>
        <w:rPr>
          <w:rFonts w:ascii="仿宋_GB2312" w:eastAsia="仿宋_GB2312"/>
          <w:color w:val="auto"/>
          <w:sz w:val="28"/>
          <w:szCs w:val="22"/>
        </w:rPr>
      </w:pPr>
      <w:r w:rsidRPr="00CE1F44">
        <w:rPr>
          <w:rFonts w:ascii="仿宋_GB2312" w:eastAsia="仿宋_GB2312" w:hint="eastAsia"/>
          <w:color w:val="auto"/>
          <w:sz w:val="28"/>
          <w:szCs w:val="22"/>
        </w:rPr>
        <w:lastRenderedPageBreak/>
        <w:t>第3章 术语和定义</w:t>
      </w:r>
    </w:p>
    <w:p w14:paraId="27AEF0D8" w14:textId="77777777" w:rsidR="0047012F" w:rsidRPr="00CE1F44" w:rsidRDefault="00000000">
      <w:pPr>
        <w:pStyle w:val="BodyText21"/>
        <w:ind w:firstLineChars="200" w:firstLine="560"/>
        <w:rPr>
          <w:rFonts w:ascii="仿宋_GB2312" w:eastAsia="仿宋_GB2312"/>
          <w:color w:val="auto"/>
          <w:sz w:val="28"/>
          <w:szCs w:val="22"/>
        </w:rPr>
      </w:pPr>
      <w:r w:rsidRPr="00CE1F44">
        <w:rPr>
          <w:rFonts w:ascii="仿宋_GB2312" w:eastAsia="仿宋_GB2312" w:hint="eastAsia"/>
          <w:color w:val="auto"/>
          <w:sz w:val="28"/>
          <w:szCs w:val="22"/>
        </w:rPr>
        <w:t>主要说明文件中涉及到的喷灌水肥一体化的定义。通过释义可以使农业技术人员更加了解标准内容，掌握关键技术要点。</w:t>
      </w:r>
    </w:p>
    <w:p w14:paraId="7D5A6442" w14:textId="77777777" w:rsidR="0047012F" w:rsidRPr="00CE1F44" w:rsidRDefault="00000000">
      <w:pPr>
        <w:pStyle w:val="BodyText21"/>
        <w:numPr>
          <w:ilvl w:val="0"/>
          <w:numId w:val="5"/>
        </w:numPr>
        <w:ind w:firstLineChars="200" w:firstLine="560"/>
        <w:rPr>
          <w:rFonts w:ascii="仿宋_GB2312" w:eastAsia="仿宋_GB2312"/>
          <w:color w:val="auto"/>
          <w:sz w:val="28"/>
          <w:szCs w:val="22"/>
        </w:rPr>
      </w:pPr>
      <w:r w:rsidRPr="00CE1F44">
        <w:rPr>
          <w:rFonts w:ascii="仿宋_GB2312" w:eastAsia="仿宋_GB2312" w:hint="eastAsia"/>
          <w:color w:val="auto"/>
          <w:sz w:val="28"/>
          <w:szCs w:val="22"/>
        </w:rPr>
        <w:t>第4章 喷灌水肥一体化系统</w:t>
      </w:r>
    </w:p>
    <w:p w14:paraId="0FC5375C" w14:textId="77777777" w:rsidR="0047012F" w:rsidRPr="00CE1F44" w:rsidRDefault="00000000">
      <w:pPr>
        <w:pStyle w:val="BodyText21"/>
        <w:ind w:firstLineChars="200" w:firstLine="560"/>
        <w:rPr>
          <w:rFonts w:ascii="仿宋_GB2312" w:eastAsia="仿宋_GB2312"/>
          <w:color w:val="auto"/>
          <w:sz w:val="28"/>
          <w:szCs w:val="22"/>
        </w:rPr>
      </w:pPr>
      <w:r w:rsidRPr="00CE1F44">
        <w:rPr>
          <w:rFonts w:ascii="仿宋_GB2312" w:eastAsia="仿宋_GB2312" w:hint="eastAsia"/>
          <w:color w:val="auto"/>
          <w:sz w:val="28"/>
          <w:szCs w:val="22"/>
        </w:rPr>
        <w:t>说明了喷灌水肥一体化系统组成，主要包括水源、首部枢纽、输配水管网及喷灌设备等。4.2-4.5逐项将系统内容进行了说明，水源应符合GB5084的要求。首部枢纽主要包括取水、加压、过滤、施肥和控制测量等设备，重点说明了施肥装置，应符合SL 550中的规定。输配水管网包括干管、支管和控制阀门等，灌溉系统布设应符合NY/T 2623中的规定。喷灌设备主要包括半固定式喷灌、固定式喷灌和喷灌机，半固定式喷灌和固定式喷灌系统设计应符合GB/T 50363规定，灌溉工程施工、安装和验收应符合GB/T 50085规定，喷灌机基本参数应符合JB/T 6280 中规定。</w:t>
      </w:r>
    </w:p>
    <w:p w14:paraId="1BE96FCF" w14:textId="77777777" w:rsidR="0047012F" w:rsidRPr="00CE1F44" w:rsidRDefault="00000000">
      <w:pPr>
        <w:pStyle w:val="BodyText21"/>
        <w:numPr>
          <w:ilvl w:val="0"/>
          <w:numId w:val="5"/>
        </w:numPr>
        <w:ind w:firstLineChars="200" w:firstLine="560"/>
        <w:rPr>
          <w:rFonts w:ascii="仿宋_GB2312" w:eastAsia="仿宋_GB2312"/>
          <w:color w:val="auto"/>
          <w:sz w:val="28"/>
          <w:szCs w:val="22"/>
        </w:rPr>
      </w:pPr>
      <w:r w:rsidRPr="00CE1F44">
        <w:rPr>
          <w:rFonts w:ascii="仿宋_GB2312" w:eastAsia="仿宋_GB2312" w:hint="eastAsia"/>
          <w:color w:val="auto"/>
          <w:sz w:val="28"/>
          <w:szCs w:val="22"/>
        </w:rPr>
        <w:t>第5章 灌溉管理</w:t>
      </w:r>
    </w:p>
    <w:p w14:paraId="65731231" w14:textId="77777777" w:rsidR="0047012F" w:rsidRPr="00CE1F44" w:rsidRDefault="00000000">
      <w:pPr>
        <w:pStyle w:val="BodyText21"/>
        <w:ind w:firstLineChars="200" w:firstLine="560"/>
        <w:rPr>
          <w:rFonts w:ascii="仿宋_GB2312" w:eastAsia="仿宋_GB2312"/>
          <w:color w:val="auto"/>
          <w:sz w:val="28"/>
          <w:szCs w:val="22"/>
        </w:rPr>
      </w:pPr>
      <w:r w:rsidRPr="00CE1F44">
        <w:rPr>
          <w:rFonts w:ascii="仿宋_GB2312" w:eastAsia="仿宋_GB2312" w:hint="eastAsia"/>
          <w:color w:val="auto"/>
          <w:sz w:val="28"/>
          <w:szCs w:val="22"/>
        </w:rPr>
        <w:t>主要说明了灌溉原则和灌溉制度。水分管理应根据小麦需水规律，同时兼顾水肥运筹，综合运用工程、农艺、农机、管理等措施，合理利用自然降水、灌溉水和土壤水，满足小麦生长发育对水分的需求。针对小麦适宜的灌溉制度，北京市农业技术推广站连续多年开展相关试验研究，曾开展不同灌溉方式对小麦耗水规律和产量效益的影响、春季不同时期灌水对小麦产量的影响、灌溉决策方式对冬小麦产量及水分生产效率的影响等研究，撰写了相关科技论文，明确了北京地区小麦耗水规律，在此基础上制定了灌溉制度，明确了不同生育期适宜灌水的土壤相对含水量下限。</w:t>
      </w:r>
    </w:p>
    <w:p w14:paraId="0A8DD246" w14:textId="77777777" w:rsidR="0047012F" w:rsidRPr="00CE1F44" w:rsidRDefault="00000000">
      <w:pPr>
        <w:pStyle w:val="BodyText21"/>
        <w:numPr>
          <w:ilvl w:val="0"/>
          <w:numId w:val="5"/>
        </w:numPr>
        <w:ind w:firstLineChars="200" w:firstLine="560"/>
        <w:rPr>
          <w:rFonts w:ascii="仿宋_GB2312" w:eastAsia="仿宋_GB2312"/>
          <w:color w:val="auto"/>
          <w:sz w:val="28"/>
          <w:szCs w:val="22"/>
        </w:rPr>
      </w:pPr>
      <w:r w:rsidRPr="00CE1F44">
        <w:rPr>
          <w:rFonts w:ascii="仿宋_GB2312" w:eastAsia="仿宋_GB2312" w:hint="eastAsia"/>
          <w:color w:val="auto"/>
          <w:sz w:val="28"/>
          <w:szCs w:val="22"/>
        </w:rPr>
        <w:t>第6章 施肥管理</w:t>
      </w:r>
    </w:p>
    <w:p w14:paraId="7DC86D31" w14:textId="77777777" w:rsidR="0047012F" w:rsidRPr="00CE1F44" w:rsidRDefault="00000000">
      <w:pPr>
        <w:spacing w:line="360" w:lineRule="auto"/>
        <w:ind w:firstLineChars="200" w:firstLine="560"/>
        <w:rPr>
          <w:rFonts w:ascii="仿宋_GB2312" w:eastAsia="仿宋_GB2312"/>
          <w:sz w:val="28"/>
          <w:szCs w:val="22"/>
        </w:rPr>
      </w:pPr>
      <w:r>
        <w:rPr>
          <w:rFonts w:ascii="仿宋_GB2312" w:eastAsia="仿宋_GB2312" w:hint="eastAsia"/>
          <w:sz w:val="28"/>
          <w:szCs w:val="22"/>
        </w:rPr>
        <w:t>主要说明了施肥原则、肥料选择和施肥制度。养分管理应根据基</w:t>
      </w:r>
      <w:r>
        <w:rPr>
          <w:rFonts w:ascii="仿宋_GB2312" w:eastAsia="仿宋_GB2312" w:hint="eastAsia"/>
          <w:sz w:val="28"/>
          <w:szCs w:val="22"/>
        </w:rPr>
        <w:lastRenderedPageBreak/>
        <w:t>础地力、目标产量及小麦需肥规律，考虑灌溉方式对施肥的影响，科学制定施肥方案，满足小麦生长发育对养分的需求。应选用</w:t>
      </w:r>
      <w:r w:rsidRPr="00CE1F44">
        <w:rPr>
          <w:rFonts w:ascii="仿宋_GB2312" w:eastAsia="仿宋_GB2312" w:hint="eastAsia"/>
          <w:sz w:val="28"/>
          <w:szCs w:val="22"/>
        </w:rPr>
        <w:t>符合</w:t>
      </w:r>
      <w:r>
        <w:rPr>
          <w:rFonts w:ascii="仿宋_GB2312" w:eastAsia="仿宋_GB2312" w:hint="eastAsia"/>
          <w:sz w:val="28"/>
          <w:szCs w:val="22"/>
        </w:rPr>
        <w:t>NY 1107、NY 1428规</w:t>
      </w:r>
      <w:r w:rsidRPr="00CE1F44">
        <w:rPr>
          <w:rFonts w:ascii="仿宋_GB2312" w:eastAsia="仿宋_GB2312" w:hint="eastAsia"/>
          <w:sz w:val="28"/>
          <w:szCs w:val="22"/>
        </w:rPr>
        <w:t>定的</w:t>
      </w:r>
      <w:r>
        <w:rPr>
          <w:rFonts w:ascii="仿宋_GB2312" w:eastAsia="仿宋_GB2312" w:hint="eastAsia"/>
          <w:sz w:val="28"/>
          <w:szCs w:val="22"/>
        </w:rPr>
        <w:t>水溶性肥料。施肥制度的建立主要参考NY/T 496和NY/T 2911执行，北京市农业技术推广站前期开展了磷肥不同用量对京郊小麦产量的影响、京郊小麦半固定式喷灌喷施氮肥效果评价和春季灌水</w:t>
      </w:r>
      <w:proofErr w:type="gramStart"/>
      <w:r>
        <w:rPr>
          <w:rFonts w:ascii="仿宋_GB2312" w:eastAsia="仿宋_GB2312" w:hint="eastAsia"/>
          <w:sz w:val="28"/>
          <w:szCs w:val="22"/>
        </w:rPr>
        <w:t>和追氮对</w:t>
      </w:r>
      <w:proofErr w:type="gramEnd"/>
      <w:r>
        <w:rPr>
          <w:rFonts w:ascii="仿宋_GB2312" w:eastAsia="仿宋_GB2312" w:hint="eastAsia"/>
          <w:sz w:val="28"/>
          <w:szCs w:val="22"/>
        </w:rPr>
        <w:t>北京冬小麦生长发育和产量的影响等试验研究，明确了肥料不同元素的</w:t>
      </w:r>
      <w:proofErr w:type="gramStart"/>
      <w:r>
        <w:rPr>
          <w:rFonts w:ascii="仿宋_GB2312" w:eastAsia="仿宋_GB2312" w:hint="eastAsia"/>
          <w:sz w:val="28"/>
          <w:szCs w:val="22"/>
        </w:rPr>
        <w:t>适宜基追比</w:t>
      </w:r>
      <w:proofErr w:type="gramEnd"/>
      <w:r>
        <w:rPr>
          <w:rFonts w:ascii="仿宋_GB2312" w:eastAsia="仿宋_GB2312" w:hint="eastAsia"/>
          <w:sz w:val="28"/>
          <w:szCs w:val="22"/>
        </w:rPr>
        <w:t>，建立了适合北京地区的春季施肥制度。</w:t>
      </w:r>
    </w:p>
    <w:p w14:paraId="0D11DFA0" w14:textId="77777777" w:rsidR="0047012F" w:rsidRPr="00CE1F44" w:rsidRDefault="00000000">
      <w:pPr>
        <w:pStyle w:val="BodyText21"/>
        <w:numPr>
          <w:ilvl w:val="0"/>
          <w:numId w:val="5"/>
        </w:numPr>
        <w:ind w:firstLineChars="200" w:firstLine="560"/>
        <w:rPr>
          <w:rFonts w:ascii="仿宋_GB2312" w:eastAsia="仿宋_GB2312"/>
          <w:color w:val="auto"/>
          <w:sz w:val="28"/>
          <w:szCs w:val="22"/>
        </w:rPr>
      </w:pPr>
      <w:r w:rsidRPr="00CE1F44">
        <w:rPr>
          <w:rFonts w:ascii="仿宋_GB2312" w:eastAsia="仿宋_GB2312" w:hint="eastAsia"/>
          <w:color w:val="auto"/>
          <w:sz w:val="28"/>
          <w:szCs w:val="22"/>
        </w:rPr>
        <w:t>第7章 灌溉施肥</w:t>
      </w:r>
    </w:p>
    <w:p w14:paraId="01BCA31E" w14:textId="77777777" w:rsidR="0047012F" w:rsidRDefault="00000000">
      <w:pPr>
        <w:spacing w:line="360" w:lineRule="auto"/>
        <w:ind w:firstLineChars="200" w:firstLine="560"/>
        <w:rPr>
          <w:rFonts w:ascii="仿宋_GB2312" w:eastAsia="仿宋_GB2312"/>
          <w:sz w:val="28"/>
          <w:szCs w:val="22"/>
        </w:rPr>
      </w:pPr>
      <w:r>
        <w:rPr>
          <w:rFonts w:ascii="仿宋_GB2312" w:eastAsia="仿宋_GB2312" w:hint="eastAsia"/>
          <w:sz w:val="28"/>
          <w:szCs w:val="22"/>
        </w:rPr>
        <w:t>主要说明了灌溉施肥原则、灌溉施肥制度和操作方法。充分考虑基础地力和目标产量，合理确定水分和养分投入，使两者相互配合、相互协调、相互促进。在灌溉制度和施肥制度的基础上，参照NY/T 2624执行，将灌溉和施肥相融合，明确不同生育时期的具体灌溉量和施肥量，制定了灌溉施肥制度。在多年工作经验的基础上，明确了灌溉施肥的具体操作方法，对于灌溉施肥顺序、轮灌区操作和运行维护等技术要点进行了明确，用于指导全市小麦灌溉施肥。相关材料印发了技术明白纸，在全市小麦主产区进行了发放，经大量试验示范验证，具有科学性。</w:t>
      </w:r>
    </w:p>
    <w:p w14:paraId="3CCA6CE5" w14:textId="77777777" w:rsidR="0047012F" w:rsidRDefault="00000000">
      <w:pPr>
        <w:pStyle w:val="a"/>
        <w:numPr>
          <w:ilvl w:val="0"/>
          <w:numId w:val="0"/>
        </w:numPr>
        <w:wordWrap w:val="0"/>
        <w:spacing w:before="156" w:after="156"/>
      </w:pPr>
      <w:bookmarkStart w:id="0" w:name="_Toc445830262_WPSOffice_Level1"/>
      <w:r>
        <w:rPr>
          <w:rFonts w:hint="eastAsia"/>
        </w:rPr>
        <w:t>小麦各生育时期灌溉施肥推荐量</w:t>
      </w:r>
      <w:bookmarkEnd w:id="0"/>
    </w:p>
    <w:tbl>
      <w:tblPr>
        <w:tblW w:w="5000" w:type="pct"/>
        <w:jc w:val="center"/>
        <w:tblLook w:val="04A0" w:firstRow="1" w:lastRow="0" w:firstColumn="1" w:lastColumn="0" w:noHBand="0" w:noVBand="1"/>
      </w:tblPr>
      <w:tblGrid>
        <w:gridCol w:w="1858"/>
        <w:gridCol w:w="1998"/>
        <w:gridCol w:w="1548"/>
        <w:gridCol w:w="1380"/>
        <w:gridCol w:w="1512"/>
      </w:tblGrid>
      <w:tr w:rsidR="0047012F" w14:paraId="08AC79BC" w14:textId="77777777">
        <w:trPr>
          <w:trHeight w:val="324"/>
          <w:jc w:val="center"/>
        </w:trPr>
        <w:tc>
          <w:tcPr>
            <w:tcW w:w="1119" w:type="pct"/>
            <w:vMerge w:val="restart"/>
            <w:tcBorders>
              <w:top w:val="single" w:sz="4" w:space="0" w:color="auto"/>
              <w:left w:val="single" w:sz="4" w:space="0" w:color="auto"/>
              <w:right w:val="single" w:sz="4" w:space="0" w:color="auto"/>
            </w:tcBorders>
            <w:shd w:val="clear" w:color="auto" w:fill="auto"/>
            <w:vAlign w:val="center"/>
          </w:tcPr>
          <w:p w14:paraId="3CC07379" w14:textId="77777777" w:rsidR="0047012F" w:rsidRDefault="00000000">
            <w:pPr>
              <w:widowControl/>
              <w:jc w:val="center"/>
              <w:rPr>
                <w:rFonts w:ascii="宋体" w:hAnsi="宋体" w:cs="宋体"/>
                <w:kern w:val="0"/>
                <w:sz w:val="18"/>
                <w:szCs w:val="18"/>
              </w:rPr>
            </w:pPr>
            <w:r>
              <w:rPr>
                <w:rFonts w:ascii="宋体" w:hAnsi="宋体" w:cs="宋体" w:hint="eastAsia"/>
                <w:kern w:val="0"/>
                <w:sz w:val="18"/>
                <w:szCs w:val="18"/>
              </w:rPr>
              <w:t>时期</w:t>
            </w:r>
          </w:p>
        </w:tc>
        <w:tc>
          <w:tcPr>
            <w:tcW w:w="1204" w:type="pct"/>
            <w:vMerge w:val="restart"/>
            <w:tcBorders>
              <w:top w:val="single" w:sz="4" w:space="0" w:color="auto"/>
              <w:left w:val="nil"/>
              <w:right w:val="single" w:sz="4" w:space="0" w:color="auto"/>
            </w:tcBorders>
            <w:vAlign w:val="center"/>
          </w:tcPr>
          <w:p w14:paraId="3E1AB11D" w14:textId="77777777" w:rsidR="0047012F" w:rsidRDefault="00000000">
            <w:pPr>
              <w:widowControl/>
              <w:jc w:val="center"/>
              <w:rPr>
                <w:rFonts w:ascii="宋体" w:hAnsi="宋体" w:cs="宋体"/>
                <w:kern w:val="0"/>
                <w:sz w:val="18"/>
                <w:szCs w:val="18"/>
              </w:rPr>
            </w:pPr>
            <w:r>
              <w:rPr>
                <w:rFonts w:ascii="宋体" w:hAnsi="宋体" w:cs="宋体" w:hint="eastAsia"/>
                <w:kern w:val="0"/>
                <w:sz w:val="18"/>
                <w:szCs w:val="18"/>
              </w:rPr>
              <w:t>灌溉量</w:t>
            </w:r>
          </w:p>
          <w:p w14:paraId="21097C4E" w14:textId="77777777" w:rsidR="0047012F" w:rsidRDefault="00000000">
            <w:pPr>
              <w:jc w:val="center"/>
              <w:rPr>
                <w:rFonts w:ascii="宋体" w:hAnsi="宋体" w:cs="宋体"/>
                <w:kern w:val="0"/>
                <w:sz w:val="18"/>
                <w:szCs w:val="18"/>
              </w:rPr>
            </w:pPr>
            <w:r>
              <w:rPr>
                <w:rFonts w:ascii="宋体" w:hAnsi="宋体" w:cs="宋体" w:hint="eastAsia"/>
                <w:kern w:val="0"/>
                <w:sz w:val="18"/>
                <w:szCs w:val="18"/>
              </w:rPr>
              <w:t>（m</w:t>
            </w:r>
            <w:r>
              <w:rPr>
                <w:rFonts w:ascii="宋体" w:hAnsi="宋体" w:cs="宋体" w:hint="eastAsia"/>
                <w:kern w:val="0"/>
                <w:sz w:val="18"/>
                <w:szCs w:val="18"/>
                <w:vertAlign w:val="superscript"/>
              </w:rPr>
              <w:t>3</w:t>
            </w:r>
            <w:r>
              <w:rPr>
                <w:rFonts w:ascii="宋体" w:hAnsi="宋体" w:cs="宋体" w:hint="eastAsia"/>
                <w:kern w:val="0"/>
                <w:sz w:val="18"/>
                <w:szCs w:val="18"/>
              </w:rPr>
              <w:t>/667m</w:t>
            </w:r>
            <w:r>
              <w:rPr>
                <w:rFonts w:ascii="宋体" w:hAnsi="宋体" w:cs="宋体" w:hint="eastAsia"/>
                <w:kern w:val="0"/>
                <w:sz w:val="18"/>
                <w:szCs w:val="18"/>
                <w:vertAlign w:val="superscript"/>
              </w:rPr>
              <w:t>2</w:t>
            </w:r>
            <w:r>
              <w:rPr>
                <w:rFonts w:ascii="宋体" w:hAnsi="宋体" w:cs="宋体" w:hint="eastAsia"/>
                <w:kern w:val="0"/>
                <w:sz w:val="18"/>
                <w:szCs w:val="18"/>
              </w:rPr>
              <w:t>）</w:t>
            </w:r>
          </w:p>
        </w:tc>
        <w:tc>
          <w:tcPr>
            <w:tcW w:w="2676" w:type="pct"/>
            <w:gridSpan w:val="3"/>
            <w:tcBorders>
              <w:top w:val="single" w:sz="4" w:space="0" w:color="auto"/>
              <w:left w:val="single" w:sz="4" w:space="0" w:color="auto"/>
              <w:bottom w:val="single" w:sz="4" w:space="0" w:color="auto"/>
              <w:right w:val="single" w:sz="4" w:space="0" w:color="auto"/>
            </w:tcBorders>
          </w:tcPr>
          <w:p w14:paraId="03F27CDA" w14:textId="77777777" w:rsidR="0047012F" w:rsidRDefault="00000000">
            <w:pPr>
              <w:widowControl/>
              <w:jc w:val="center"/>
              <w:rPr>
                <w:rFonts w:ascii="宋体" w:hAnsi="宋体" w:cs="宋体"/>
                <w:kern w:val="0"/>
                <w:sz w:val="18"/>
                <w:szCs w:val="18"/>
              </w:rPr>
            </w:pPr>
            <w:r>
              <w:rPr>
                <w:rFonts w:ascii="宋体" w:hAnsi="宋体" w:cs="宋体" w:hint="eastAsia"/>
                <w:kern w:val="0"/>
                <w:sz w:val="18"/>
                <w:szCs w:val="18"/>
              </w:rPr>
              <w:t>施肥量（kg/667m</w:t>
            </w:r>
            <w:r>
              <w:rPr>
                <w:rFonts w:ascii="宋体" w:hAnsi="宋体" w:cs="宋体" w:hint="eastAsia"/>
                <w:kern w:val="0"/>
                <w:sz w:val="18"/>
                <w:szCs w:val="18"/>
                <w:vertAlign w:val="superscript"/>
              </w:rPr>
              <w:t>2</w:t>
            </w:r>
            <w:r>
              <w:rPr>
                <w:rFonts w:ascii="宋体" w:hAnsi="宋体" w:cs="宋体" w:hint="eastAsia"/>
                <w:kern w:val="0"/>
                <w:sz w:val="18"/>
                <w:szCs w:val="18"/>
              </w:rPr>
              <w:t>）</w:t>
            </w:r>
          </w:p>
        </w:tc>
      </w:tr>
      <w:tr w:rsidR="0047012F" w14:paraId="28427BFB" w14:textId="77777777">
        <w:trPr>
          <w:trHeight w:val="270"/>
          <w:jc w:val="center"/>
        </w:trPr>
        <w:tc>
          <w:tcPr>
            <w:tcW w:w="1119" w:type="pct"/>
            <w:vMerge/>
            <w:tcBorders>
              <w:left w:val="single" w:sz="4" w:space="0" w:color="auto"/>
              <w:bottom w:val="single" w:sz="4" w:space="0" w:color="auto"/>
              <w:right w:val="single" w:sz="4" w:space="0" w:color="auto"/>
            </w:tcBorders>
            <w:shd w:val="clear" w:color="auto" w:fill="auto"/>
          </w:tcPr>
          <w:p w14:paraId="5BC6E029" w14:textId="77777777" w:rsidR="0047012F" w:rsidRDefault="0047012F">
            <w:pPr>
              <w:widowControl/>
              <w:jc w:val="center"/>
              <w:rPr>
                <w:rFonts w:ascii="宋体" w:hAnsi="宋体" w:cs="宋体"/>
                <w:kern w:val="0"/>
                <w:sz w:val="18"/>
                <w:szCs w:val="18"/>
              </w:rPr>
            </w:pPr>
          </w:p>
        </w:tc>
        <w:tc>
          <w:tcPr>
            <w:tcW w:w="1204" w:type="pct"/>
            <w:vMerge/>
            <w:tcBorders>
              <w:left w:val="nil"/>
              <w:bottom w:val="single" w:sz="4" w:space="0" w:color="auto"/>
              <w:right w:val="single" w:sz="4" w:space="0" w:color="auto"/>
            </w:tcBorders>
            <w:shd w:val="clear" w:color="auto" w:fill="auto"/>
          </w:tcPr>
          <w:p w14:paraId="77926DF1" w14:textId="77777777" w:rsidR="0047012F" w:rsidRDefault="0047012F">
            <w:pPr>
              <w:widowControl/>
              <w:jc w:val="center"/>
              <w:rPr>
                <w:rFonts w:ascii="宋体" w:hAnsi="宋体" w:cs="宋体"/>
                <w:kern w:val="0"/>
                <w:sz w:val="18"/>
                <w:szCs w:val="18"/>
              </w:rPr>
            </w:pPr>
          </w:p>
        </w:tc>
        <w:tc>
          <w:tcPr>
            <w:tcW w:w="933" w:type="pct"/>
            <w:tcBorders>
              <w:top w:val="single" w:sz="4" w:space="0" w:color="auto"/>
              <w:left w:val="single" w:sz="4" w:space="0" w:color="auto"/>
              <w:bottom w:val="single" w:sz="4" w:space="0" w:color="auto"/>
              <w:right w:val="single" w:sz="4" w:space="0" w:color="auto"/>
            </w:tcBorders>
            <w:shd w:val="clear" w:color="auto" w:fill="auto"/>
          </w:tcPr>
          <w:p w14:paraId="4790A9B7" w14:textId="77777777" w:rsidR="0047012F" w:rsidRDefault="00000000">
            <w:pPr>
              <w:widowControl/>
              <w:jc w:val="center"/>
              <w:rPr>
                <w:rFonts w:ascii="宋体" w:hAnsi="宋体" w:cs="宋体"/>
                <w:kern w:val="0"/>
                <w:sz w:val="18"/>
                <w:szCs w:val="18"/>
              </w:rPr>
            </w:pPr>
            <w:r>
              <w:rPr>
                <w:rFonts w:ascii="宋体" w:hAnsi="宋体" w:cs="宋体" w:hint="eastAsia"/>
                <w:kern w:val="0"/>
                <w:sz w:val="18"/>
                <w:szCs w:val="18"/>
              </w:rPr>
              <w:t>N</w:t>
            </w:r>
          </w:p>
        </w:tc>
        <w:tc>
          <w:tcPr>
            <w:tcW w:w="832" w:type="pct"/>
            <w:tcBorders>
              <w:top w:val="nil"/>
              <w:left w:val="nil"/>
              <w:bottom w:val="single" w:sz="4" w:space="0" w:color="auto"/>
              <w:right w:val="single" w:sz="4" w:space="0" w:color="auto"/>
            </w:tcBorders>
            <w:shd w:val="clear" w:color="auto" w:fill="auto"/>
          </w:tcPr>
          <w:p w14:paraId="13CBB25E" w14:textId="77777777" w:rsidR="0047012F" w:rsidRDefault="00000000">
            <w:pPr>
              <w:widowControl/>
              <w:jc w:val="center"/>
              <w:rPr>
                <w:rFonts w:ascii="宋体" w:hAnsi="宋体" w:cs="宋体"/>
                <w:kern w:val="0"/>
                <w:sz w:val="18"/>
                <w:szCs w:val="18"/>
              </w:rPr>
            </w:pPr>
            <w:r>
              <w:rPr>
                <w:rFonts w:ascii="宋体" w:hAnsi="宋体" w:cs="宋体" w:hint="eastAsia"/>
                <w:kern w:val="0"/>
                <w:sz w:val="18"/>
                <w:szCs w:val="18"/>
              </w:rPr>
              <w:t>P</w:t>
            </w:r>
            <w:r>
              <w:rPr>
                <w:rFonts w:ascii="宋体" w:hAnsi="宋体" w:cs="宋体" w:hint="eastAsia"/>
                <w:kern w:val="0"/>
                <w:sz w:val="18"/>
                <w:szCs w:val="18"/>
                <w:vertAlign w:val="subscript"/>
              </w:rPr>
              <w:t>2</w:t>
            </w:r>
            <w:r>
              <w:rPr>
                <w:rFonts w:ascii="宋体" w:hAnsi="宋体" w:cs="宋体" w:hint="eastAsia"/>
                <w:kern w:val="0"/>
                <w:sz w:val="18"/>
                <w:szCs w:val="18"/>
              </w:rPr>
              <w:t>O</w:t>
            </w:r>
            <w:r>
              <w:rPr>
                <w:rFonts w:ascii="宋体" w:hAnsi="宋体" w:cs="宋体" w:hint="eastAsia"/>
                <w:kern w:val="0"/>
                <w:sz w:val="18"/>
                <w:szCs w:val="18"/>
                <w:vertAlign w:val="subscript"/>
              </w:rPr>
              <w:t>5</w:t>
            </w:r>
          </w:p>
        </w:tc>
        <w:tc>
          <w:tcPr>
            <w:tcW w:w="911" w:type="pct"/>
            <w:tcBorders>
              <w:top w:val="nil"/>
              <w:left w:val="nil"/>
              <w:bottom w:val="single" w:sz="4" w:space="0" w:color="auto"/>
              <w:right w:val="single" w:sz="4" w:space="0" w:color="auto"/>
            </w:tcBorders>
            <w:shd w:val="clear" w:color="auto" w:fill="auto"/>
          </w:tcPr>
          <w:p w14:paraId="08866E4F" w14:textId="77777777" w:rsidR="0047012F" w:rsidRDefault="00000000">
            <w:pPr>
              <w:widowControl/>
              <w:jc w:val="center"/>
              <w:rPr>
                <w:rFonts w:ascii="宋体" w:hAnsi="宋体" w:cs="宋体"/>
                <w:kern w:val="0"/>
                <w:sz w:val="18"/>
                <w:szCs w:val="18"/>
              </w:rPr>
            </w:pPr>
            <w:r>
              <w:rPr>
                <w:rFonts w:ascii="宋体" w:hAnsi="宋体" w:cs="宋体" w:hint="eastAsia"/>
                <w:kern w:val="0"/>
                <w:sz w:val="18"/>
                <w:szCs w:val="18"/>
              </w:rPr>
              <w:t>K</w:t>
            </w:r>
            <w:r>
              <w:rPr>
                <w:rFonts w:ascii="宋体" w:hAnsi="宋体" w:cs="宋体" w:hint="eastAsia"/>
                <w:kern w:val="0"/>
                <w:sz w:val="18"/>
                <w:szCs w:val="18"/>
                <w:vertAlign w:val="subscript"/>
              </w:rPr>
              <w:t>2</w:t>
            </w:r>
            <w:r>
              <w:rPr>
                <w:rFonts w:ascii="宋体" w:hAnsi="宋体" w:cs="宋体" w:hint="eastAsia"/>
                <w:kern w:val="0"/>
                <w:sz w:val="18"/>
                <w:szCs w:val="18"/>
              </w:rPr>
              <w:t>O</w:t>
            </w:r>
          </w:p>
        </w:tc>
      </w:tr>
      <w:tr w:rsidR="0047012F" w14:paraId="294D13FE" w14:textId="77777777">
        <w:trPr>
          <w:trHeight w:val="287"/>
          <w:jc w:val="center"/>
        </w:trPr>
        <w:tc>
          <w:tcPr>
            <w:tcW w:w="1119" w:type="pct"/>
            <w:tcBorders>
              <w:top w:val="nil"/>
              <w:left w:val="single" w:sz="4" w:space="0" w:color="auto"/>
              <w:bottom w:val="single" w:sz="4" w:space="0" w:color="auto"/>
              <w:right w:val="single" w:sz="4" w:space="0" w:color="auto"/>
            </w:tcBorders>
            <w:shd w:val="clear" w:color="auto" w:fill="auto"/>
          </w:tcPr>
          <w:p w14:paraId="199B1744" w14:textId="77777777" w:rsidR="0047012F" w:rsidRDefault="00000000">
            <w:pPr>
              <w:widowControl/>
              <w:jc w:val="center"/>
              <w:rPr>
                <w:rFonts w:ascii="宋体" w:hAnsi="宋体" w:cs="宋体"/>
                <w:kern w:val="0"/>
                <w:sz w:val="18"/>
                <w:szCs w:val="18"/>
              </w:rPr>
            </w:pPr>
            <w:r>
              <w:rPr>
                <w:rFonts w:ascii="宋体" w:hAnsi="宋体" w:cs="宋体" w:hint="eastAsia"/>
                <w:kern w:val="0"/>
                <w:sz w:val="18"/>
                <w:szCs w:val="18"/>
              </w:rPr>
              <w:t>造墒/基肥</w:t>
            </w:r>
          </w:p>
        </w:tc>
        <w:tc>
          <w:tcPr>
            <w:tcW w:w="1204" w:type="pct"/>
            <w:tcBorders>
              <w:top w:val="nil"/>
              <w:left w:val="nil"/>
              <w:bottom w:val="single" w:sz="4" w:space="0" w:color="auto"/>
              <w:right w:val="single" w:sz="4" w:space="0" w:color="auto"/>
            </w:tcBorders>
            <w:shd w:val="clear" w:color="auto" w:fill="auto"/>
          </w:tcPr>
          <w:p w14:paraId="6DD83F54" w14:textId="77777777" w:rsidR="0047012F" w:rsidRDefault="00000000">
            <w:pPr>
              <w:widowControl/>
              <w:jc w:val="center"/>
              <w:rPr>
                <w:rFonts w:ascii="宋体" w:hAnsi="宋体" w:cs="宋体"/>
                <w:kern w:val="0"/>
                <w:sz w:val="18"/>
                <w:szCs w:val="18"/>
              </w:rPr>
            </w:pPr>
            <w:r>
              <w:rPr>
                <w:rFonts w:ascii="宋体" w:hAnsi="宋体" w:cs="宋体" w:hint="eastAsia"/>
                <w:kern w:val="0"/>
                <w:sz w:val="18"/>
                <w:szCs w:val="18"/>
              </w:rPr>
              <w:t>20～30</w:t>
            </w:r>
          </w:p>
        </w:tc>
        <w:tc>
          <w:tcPr>
            <w:tcW w:w="933" w:type="pct"/>
            <w:tcBorders>
              <w:top w:val="nil"/>
              <w:left w:val="single" w:sz="4" w:space="0" w:color="auto"/>
              <w:bottom w:val="single" w:sz="4" w:space="0" w:color="auto"/>
              <w:right w:val="single" w:sz="4" w:space="0" w:color="auto"/>
            </w:tcBorders>
            <w:shd w:val="clear" w:color="auto" w:fill="auto"/>
          </w:tcPr>
          <w:p w14:paraId="1C025920" w14:textId="77777777" w:rsidR="0047012F" w:rsidRDefault="00000000">
            <w:pPr>
              <w:widowControl/>
              <w:jc w:val="center"/>
              <w:rPr>
                <w:rFonts w:ascii="宋体" w:hAnsi="宋体" w:cs="宋体"/>
                <w:kern w:val="0"/>
                <w:sz w:val="18"/>
                <w:szCs w:val="18"/>
              </w:rPr>
            </w:pPr>
            <w:r>
              <w:rPr>
                <w:rFonts w:ascii="宋体" w:hAnsi="宋体" w:cs="宋体" w:hint="eastAsia"/>
                <w:kern w:val="0"/>
                <w:sz w:val="18"/>
                <w:szCs w:val="18"/>
              </w:rPr>
              <w:t>3～6</w:t>
            </w:r>
          </w:p>
        </w:tc>
        <w:tc>
          <w:tcPr>
            <w:tcW w:w="832" w:type="pct"/>
            <w:tcBorders>
              <w:top w:val="nil"/>
              <w:left w:val="nil"/>
              <w:bottom w:val="single" w:sz="4" w:space="0" w:color="auto"/>
              <w:right w:val="single" w:sz="4" w:space="0" w:color="auto"/>
            </w:tcBorders>
            <w:shd w:val="clear" w:color="auto" w:fill="auto"/>
          </w:tcPr>
          <w:p w14:paraId="2121F1C6" w14:textId="77777777" w:rsidR="0047012F" w:rsidRDefault="00000000">
            <w:pPr>
              <w:widowControl/>
              <w:jc w:val="center"/>
              <w:rPr>
                <w:rFonts w:ascii="宋体" w:hAnsi="宋体" w:cs="宋体"/>
                <w:kern w:val="0"/>
                <w:sz w:val="18"/>
                <w:szCs w:val="18"/>
              </w:rPr>
            </w:pPr>
            <w:r>
              <w:rPr>
                <w:rFonts w:ascii="宋体" w:hAnsi="宋体" w:cs="宋体" w:hint="eastAsia"/>
                <w:kern w:val="0"/>
                <w:sz w:val="18"/>
                <w:szCs w:val="18"/>
              </w:rPr>
              <w:t>4～12</w:t>
            </w:r>
          </w:p>
        </w:tc>
        <w:tc>
          <w:tcPr>
            <w:tcW w:w="911" w:type="pct"/>
            <w:tcBorders>
              <w:top w:val="nil"/>
              <w:left w:val="nil"/>
              <w:bottom w:val="single" w:sz="4" w:space="0" w:color="auto"/>
              <w:right w:val="single" w:sz="4" w:space="0" w:color="auto"/>
            </w:tcBorders>
            <w:shd w:val="clear" w:color="auto" w:fill="auto"/>
          </w:tcPr>
          <w:p w14:paraId="2E4507E8" w14:textId="77777777" w:rsidR="0047012F" w:rsidRDefault="00000000">
            <w:pPr>
              <w:widowControl/>
              <w:jc w:val="center"/>
              <w:rPr>
                <w:rFonts w:ascii="宋体" w:hAnsi="宋体" w:cs="宋体"/>
                <w:kern w:val="0"/>
                <w:sz w:val="18"/>
                <w:szCs w:val="18"/>
              </w:rPr>
            </w:pPr>
            <w:r>
              <w:rPr>
                <w:rFonts w:ascii="宋体" w:hAnsi="宋体" w:cs="宋体" w:hint="eastAsia"/>
                <w:kern w:val="0"/>
                <w:sz w:val="18"/>
                <w:szCs w:val="18"/>
              </w:rPr>
              <w:t>3～5</w:t>
            </w:r>
          </w:p>
        </w:tc>
      </w:tr>
      <w:tr w:rsidR="0047012F" w14:paraId="620490B7" w14:textId="77777777">
        <w:trPr>
          <w:trHeight w:val="270"/>
          <w:jc w:val="center"/>
        </w:trPr>
        <w:tc>
          <w:tcPr>
            <w:tcW w:w="1119" w:type="pct"/>
            <w:tcBorders>
              <w:top w:val="nil"/>
              <w:left w:val="single" w:sz="4" w:space="0" w:color="auto"/>
              <w:bottom w:val="single" w:sz="4" w:space="0" w:color="auto"/>
              <w:right w:val="single" w:sz="4" w:space="0" w:color="auto"/>
            </w:tcBorders>
            <w:shd w:val="clear" w:color="auto" w:fill="auto"/>
          </w:tcPr>
          <w:p w14:paraId="0D04C068" w14:textId="77777777" w:rsidR="0047012F" w:rsidRDefault="00000000">
            <w:pPr>
              <w:widowControl/>
              <w:jc w:val="center"/>
              <w:rPr>
                <w:rFonts w:ascii="宋体" w:hAnsi="宋体" w:cs="宋体"/>
                <w:kern w:val="0"/>
                <w:sz w:val="18"/>
                <w:szCs w:val="18"/>
              </w:rPr>
            </w:pPr>
            <w:r>
              <w:rPr>
                <w:rFonts w:ascii="宋体" w:hAnsi="宋体" w:cs="宋体" w:hint="eastAsia"/>
                <w:kern w:val="0"/>
                <w:sz w:val="18"/>
                <w:szCs w:val="18"/>
              </w:rPr>
              <w:t>越冬</w:t>
            </w:r>
          </w:p>
        </w:tc>
        <w:tc>
          <w:tcPr>
            <w:tcW w:w="1204" w:type="pct"/>
            <w:tcBorders>
              <w:top w:val="nil"/>
              <w:left w:val="nil"/>
              <w:bottom w:val="single" w:sz="4" w:space="0" w:color="auto"/>
              <w:right w:val="single" w:sz="4" w:space="0" w:color="auto"/>
            </w:tcBorders>
            <w:shd w:val="clear" w:color="auto" w:fill="auto"/>
          </w:tcPr>
          <w:p w14:paraId="0A56140D" w14:textId="77777777" w:rsidR="0047012F" w:rsidRDefault="00000000">
            <w:pPr>
              <w:widowControl/>
              <w:jc w:val="center"/>
              <w:rPr>
                <w:rFonts w:ascii="宋体" w:hAnsi="宋体" w:cs="宋体"/>
                <w:kern w:val="0"/>
                <w:sz w:val="18"/>
                <w:szCs w:val="18"/>
              </w:rPr>
            </w:pPr>
            <w:r>
              <w:rPr>
                <w:rFonts w:ascii="宋体" w:hAnsi="宋体" w:cs="宋体" w:hint="eastAsia"/>
                <w:kern w:val="0"/>
                <w:sz w:val="18"/>
                <w:szCs w:val="18"/>
              </w:rPr>
              <w:t>30～50</w:t>
            </w:r>
          </w:p>
        </w:tc>
        <w:tc>
          <w:tcPr>
            <w:tcW w:w="933" w:type="pct"/>
            <w:tcBorders>
              <w:top w:val="nil"/>
              <w:left w:val="single" w:sz="4" w:space="0" w:color="auto"/>
              <w:bottom w:val="single" w:sz="4" w:space="0" w:color="auto"/>
              <w:right w:val="single" w:sz="4" w:space="0" w:color="auto"/>
            </w:tcBorders>
            <w:shd w:val="clear" w:color="auto" w:fill="auto"/>
          </w:tcPr>
          <w:p w14:paraId="234BE807" w14:textId="77777777" w:rsidR="0047012F" w:rsidRDefault="0047012F">
            <w:pPr>
              <w:widowControl/>
              <w:jc w:val="center"/>
              <w:rPr>
                <w:rFonts w:ascii="宋体" w:hAnsi="宋体" w:cs="宋体"/>
                <w:kern w:val="0"/>
                <w:sz w:val="18"/>
                <w:szCs w:val="18"/>
              </w:rPr>
            </w:pPr>
          </w:p>
        </w:tc>
        <w:tc>
          <w:tcPr>
            <w:tcW w:w="832" w:type="pct"/>
            <w:tcBorders>
              <w:top w:val="nil"/>
              <w:left w:val="nil"/>
              <w:bottom w:val="single" w:sz="4" w:space="0" w:color="auto"/>
              <w:right w:val="single" w:sz="4" w:space="0" w:color="auto"/>
            </w:tcBorders>
            <w:shd w:val="clear" w:color="auto" w:fill="auto"/>
          </w:tcPr>
          <w:p w14:paraId="32111BF3" w14:textId="77777777" w:rsidR="0047012F" w:rsidRDefault="0047012F">
            <w:pPr>
              <w:widowControl/>
              <w:jc w:val="center"/>
              <w:rPr>
                <w:rFonts w:ascii="宋体" w:hAnsi="宋体" w:cs="宋体"/>
                <w:kern w:val="0"/>
                <w:sz w:val="18"/>
                <w:szCs w:val="18"/>
              </w:rPr>
            </w:pPr>
          </w:p>
        </w:tc>
        <w:tc>
          <w:tcPr>
            <w:tcW w:w="911" w:type="pct"/>
            <w:tcBorders>
              <w:top w:val="nil"/>
              <w:left w:val="nil"/>
              <w:bottom w:val="single" w:sz="4" w:space="0" w:color="auto"/>
              <w:right w:val="single" w:sz="4" w:space="0" w:color="auto"/>
            </w:tcBorders>
            <w:shd w:val="clear" w:color="auto" w:fill="auto"/>
          </w:tcPr>
          <w:p w14:paraId="556A1716" w14:textId="77777777" w:rsidR="0047012F" w:rsidRDefault="0047012F">
            <w:pPr>
              <w:widowControl/>
              <w:jc w:val="center"/>
              <w:rPr>
                <w:rFonts w:ascii="宋体" w:hAnsi="宋体" w:cs="宋体"/>
                <w:kern w:val="0"/>
                <w:sz w:val="18"/>
                <w:szCs w:val="18"/>
              </w:rPr>
            </w:pPr>
          </w:p>
        </w:tc>
      </w:tr>
      <w:tr w:rsidR="0047012F" w14:paraId="7EC8CDF0" w14:textId="77777777">
        <w:trPr>
          <w:trHeight w:val="270"/>
          <w:jc w:val="center"/>
        </w:trPr>
        <w:tc>
          <w:tcPr>
            <w:tcW w:w="1119" w:type="pct"/>
            <w:tcBorders>
              <w:top w:val="nil"/>
              <w:left w:val="single" w:sz="4" w:space="0" w:color="auto"/>
              <w:bottom w:val="single" w:sz="4" w:space="0" w:color="auto"/>
              <w:right w:val="single" w:sz="4" w:space="0" w:color="auto"/>
            </w:tcBorders>
            <w:shd w:val="clear" w:color="auto" w:fill="auto"/>
          </w:tcPr>
          <w:p w14:paraId="6430A1A2" w14:textId="77777777" w:rsidR="0047012F" w:rsidRDefault="00000000">
            <w:pPr>
              <w:widowControl/>
              <w:jc w:val="center"/>
              <w:rPr>
                <w:rFonts w:ascii="宋体" w:hAnsi="宋体" w:cs="宋体"/>
                <w:kern w:val="0"/>
                <w:sz w:val="18"/>
                <w:szCs w:val="18"/>
              </w:rPr>
            </w:pPr>
            <w:r>
              <w:rPr>
                <w:rFonts w:ascii="宋体" w:hAnsi="宋体" w:cs="宋体" w:hint="eastAsia"/>
                <w:kern w:val="0"/>
                <w:sz w:val="18"/>
                <w:szCs w:val="18"/>
              </w:rPr>
              <w:t>返青</w:t>
            </w:r>
          </w:p>
        </w:tc>
        <w:tc>
          <w:tcPr>
            <w:tcW w:w="1204" w:type="pct"/>
            <w:tcBorders>
              <w:top w:val="nil"/>
              <w:left w:val="nil"/>
              <w:bottom w:val="single" w:sz="4" w:space="0" w:color="auto"/>
              <w:right w:val="single" w:sz="4" w:space="0" w:color="auto"/>
            </w:tcBorders>
            <w:shd w:val="clear" w:color="auto" w:fill="auto"/>
          </w:tcPr>
          <w:p w14:paraId="38B5A5EF" w14:textId="77777777" w:rsidR="0047012F" w:rsidRDefault="00000000">
            <w:pPr>
              <w:widowControl/>
              <w:jc w:val="center"/>
              <w:rPr>
                <w:rFonts w:ascii="宋体" w:hAnsi="宋体" w:cs="宋体"/>
                <w:kern w:val="0"/>
                <w:sz w:val="18"/>
                <w:szCs w:val="18"/>
              </w:rPr>
            </w:pPr>
            <w:r>
              <w:rPr>
                <w:rFonts w:ascii="宋体" w:hAnsi="宋体" w:cs="宋体" w:hint="eastAsia"/>
                <w:kern w:val="0"/>
                <w:sz w:val="18"/>
                <w:szCs w:val="18"/>
              </w:rPr>
              <w:t>20～40</w:t>
            </w:r>
          </w:p>
        </w:tc>
        <w:tc>
          <w:tcPr>
            <w:tcW w:w="933" w:type="pct"/>
            <w:tcBorders>
              <w:top w:val="nil"/>
              <w:left w:val="single" w:sz="4" w:space="0" w:color="auto"/>
              <w:bottom w:val="single" w:sz="4" w:space="0" w:color="auto"/>
              <w:right w:val="single" w:sz="4" w:space="0" w:color="auto"/>
            </w:tcBorders>
            <w:shd w:val="clear" w:color="auto" w:fill="auto"/>
          </w:tcPr>
          <w:p w14:paraId="2BAB92C0" w14:textId="77777777" w:rsidR="0047012F" w:rsidRDefault="00000000">
            <w:pPr>
              <w:widowControl/>
              <w:jc w:val="center"/>
              <w:rPr>
                <w:rFonts w:ascii="宋体" w:hAnsi="宋体" w:cs="宋体"/>
                <w:kern w:val="0"/>
                <w:sz w:val="18"/>
                <w:szCs w:val="18"/>
              </w:rPr>
            </w:pPr>
            <w:r>
              <w:rPr>
                <w:rFonts w:ascii="宋体" w:hAnsi="宋体" w:cs="宋体" w:hint="eastAsia"/>
                <w:kern w:val="0"/>
                <w:sz w:val="18"/>
                <w:szCs w:val="18"/>
              </w:rPr>
              <w:t>2～4</w:t>
            </w:r>
          </w:p>
        </w:tc>
        <w:tc>
          <w:tcPr>
            <w:tcW w:w="832" w:type="pct"/>
            <w:tcBorders>
              <w:top w:val="nil"/>
              <w:left w:val="nil"/>
              <w:bottom w:val="single" w:sz="4" w:space="0" w:color="auto"/>
              <w:right w:val="single" w:sz="4" w:space="0" w:color="auto"/>
            </w:tcBorders>
            <w:shd w:val="clear" w:color="auto" w:fill="auto"/>
          </w:tcPr>
          <w:p w14:paraId="702989D1" w14:textId="77777777" w:rsidR="0047012F" w:rsidRDefault="0047012F">
            <w:pPr>
              <w:widowControl/>
              <w:jc w:val="center"/>
              <w:rPr>
                <w:rFonts w:ascii="宋体" w:hAnsi="宋体" w:cs="宋体"/>
                <w:kern w:val="0"/>
                <w:sz w:val="18"/>
                <w:szCs w:val="18"/>
              </w:rPr>
            </w:pPr>
          </w:p>
        </w:tc>
        <w:tc>
          <w:tcPr>
            <w:tcW w:w="911" w:type="pct"/>
            <w:tcBorders>
              <w:top w:val="nil"/>
              <w:left w:val="nil"/>
              <w:bottom w:val="single" w:sz="4" w:space="0" w:color="auto"/>
              <w:right w:val="single" w:sz="4" w:space="0" w:color="auto"/>
            </w:tcBorders>
            <w:shd w:val="clear" w:color="auto" w:fill="auto"/>
          </w:tcPr>
          <w:p w14:paraId="04990E5E" w14:textId="77777777" w:rsidR="0047012F" w:rsidRDefault="0047012F">
            <w:pPr>
              <w:widowControl/>
              <w:jc w:val="center"/>
              <w:rPr>
                <w:rFonts w:ascii="宋体" w:hAnsi="宋体" w:cs="宋体"/>
                <w:kern w:val="0"/>
                <w:sz w:val="18"/>
                <w:szCs w:val="18"/>
              </w:rPr>
            </w:pPr>
          </w:p>
        </w:tc>
      </w:tr>
      <w:tr w:rsidR="0047012F" w14:paraId="78F62366" w14:textId="77777777">
        <w:trPr>
          <w:trHeight w:val="270"/>
          <w:jc w:val="center"/>
        </w:trPr>
        <w:tc>
          <w:tcPr>
            <w:tcW w:w="1119" w:type="pct"/>
            <w:tcBorders>
              <w:top w:val="nil"/>
              <w:left w:val="single" w:sz="4" w:space="0" w:color="auto"/>
              <w:bottom w:val="single" w:sz="4" w:space="0" w:color="auto"/>
              <w:right w:val="single" w:sz="4" w:space="0" w:color="auto"/>
            </w:tcBorders>
            <w:shd w:val="clear" w:color="auto" w:fill="auto"/>
          </w:tcPr>
          <w:p w14:paraId="78916D51" w14:textId="77777777" w:rsidR="0047012F" w:rsidRDefault="00000000">
            <w:pPr>
              <w:widowControl/>
              <w:jc w:val="center"/>
              <w:rPr>
                <w:rFonts w:ascii="宋体" w:hAnsi="宋体" w:cs="宋体"/>
                <w:kern w:val="0"/>
                <w:sz w:val="18"/>
                <w:szCs w:val="18"/>
              </w:rPr>
            </w:pPr>
            <w:r>
              <w:rPr>
                <w:rFonts w:ascii="宋体" w:hAnsi="宋体" w:cs="宋体" w:hint="eastAsia"/>
                <w:kern w:val="0"/>
                <w:sz w:val="18"/>
                <w:szCs w:val="18"/>
              </w:rPr>
              <w:t>拔节</w:t>
            </w:r>
          </w:p>
        </w:tc>
        <w:tc>
          <w:tcPr>
            <w:tcW w:w="1204" w:type="pct"/>
            <w:tcBorders>
              <w:top w:val="nil"/>
              <w:left w:val="nil"/>
              <w:bottom w:val="single" w:sz="4" w:space="0" w:color="auto"/>
              <w:right w:val="single" w:sz="4" w:space="0" w:color="auto"/>
            </w:tcBorders>
            <w:shd w:val="clear" w:color="auto" w:fill="auto"/>
          </w:tcPr>
          <w:p w14:paraId="7E1BA373" w14:textId="77777777" w:rsidR="0047012F" w:rsidRDefault="00000000">
            <w:pPr>
              <w:widowControl/>
              <w:jc w:val="center"/>
              <w:rPr>
                <w:rFonts w:ascii="宋体" w:hAnsi="宋体" w:cs="宋体"/>
                <w:kern w:val="0"/>
                <w:sz w:val="18"/>
                <w:szCs w:val="18"/>
              </w:rPr>
            </w:pPr>
            <w:r>
              <w:rPr>
                <w:rFonts w:ascii="宋体" w:hAnsi="宋体" w:cs="宋体" w:hint="eastAsia"/>
                <w:kern w:val="0"/>
                <w:sz w:val="18"/>
                <w:szCs w:val="18"/>
              </w:rPr>
              <w:t>20～40</w:t>
            </w:r>
          </w:p>
        </w:tc>
        <w:tc>
          <w:tcPr>
            <w:tcW w:w="933" w:type="pct"/>
            <w:tcBorders>
              <w:top w:val="nil"/>
              <w:left w:val="single" w:sz="4" w:space="0" w:color="auto"/>
              <w:bottom w:val="single" w:sz="4" w:space="0" w:color="auto"/>
              <w:right w:val="single" w:sz="4" w:space="0" w:color="auto"/>
            </w:tcBorders>
            <w:shd w:val="clear" w:color="auto" w:fill="auto"/>
          </w:tcPr>
          <w:p w14:paraId="055A69B1" w14:textId="77777777" w:rsidR="0047012F" w:rsidRDefault="00000000">
            <w:pPr>
              <w:widowControl/>
              <w:jc w:val="center"/>
              <w:rPr>
                <w:rFonts w:ascii="宋体" w:hAnsi="宋体" w:cs="宋体"/>
                <w:kern w:val="0"/>
                <w:sz w:val="18"/>
                <w:szCs w:val="18"/>
              </w:rPr>
            </w:pPr>
            <w:r>
              <w:rPr>
                <w:rFonts w:ascii="宋体" w:hAnsi="宋体" w:cs="宋体" w:hint="eastAsia"/>
                <w:kern w:val="0"/>
                <w:sz w:val="18"/>
                <w:szCs w:val="18"/>
              </w:rPr>
              <w:t>4～8</w:t>
            </w:r>
          </w:p>
        </w:tc>
        <w:tc>
          <w:tcPr>
            <w:tcW w:w="832" w:type="pct"/>
            <w:tcBorders>
              <w:top w:val="nil"/>
              <w:left w:val="nil"/>
              <w:bottom w:val="single" w:sz="4" w:space="0" w:color="auto"/>
              <w:right w:val="single" w:sz="4" w:space="0" w:color="auto"/>
            </w:tcBorders>
            <w:shd w:val="clear" w:color="auto" w:fill="auto"/>
          </w:tcPr>
          <w:p w14:paraId="789568F7" w14:textId="77777777" w:rsidR="0047012F" w:rsidRDefault="0047012F">
            <w:pPr>
              <w:widowControl/>
              <w:jc w:val="center"/>
              <w:rPr>
                <w:rFonts w:ascii="宋体" w:hAnsi="宋体" w:cs="宋体"/>
                <w:kern w:val="0"/>
                <w:sz w:val="18"/>
                <w:szCs w:val="18"/>
              </w:rPr>
            </w:pPr>
          </w:p>
        </w:tc>
        <w:tc>
          <w:tcPr>
            <w:tcW w:w="911" w:type="pct"/>
            <w:tcBorders>
              <w:top w:val="nil"/>
              <w:left w:val="nil"/>
              <w:bottom w:val="single" w:sz="4" w:space="0" w:color="auto"/>
              <w:right w:val="single" w:sz="4" w:space="0" w:color="auto"/>
            </w:tcBorders>
            <w:shd w:val="clear" w:color="auto" w:fill="auto"/>
          </w:tcPr>
          <w:p w14:paraId="16E8B861" w14:textId="77777777" w:rsidR="0047012F" w:rsidRDefault="00000000">
            <w:pPr>
              <w:widowControl/>
              <w:jc w:val="center"/>
              <w:rPr>
                <w:rFonts w:ascii="宋体" w:hAnsi="宋体" w:cs="宋体"/>
                <w:kern w:val="0"/>
                <w:sz w:val="18"/>
                <w:szCs w:val="18"/>
              </w:rPr>
            </w:pPr>
            <w:r>
              <w:rPr>
                <w:rFonts w:ascii="宋体" w:hAnsi="宋体" w:cs="宋体" w:hint="eastAsia"/>
                <w:kern w:val="0"/>
                <w:sz w:val="18"/>
                <w:szCs w:val="18"/>
              </w:rPr>
              <w:t>1～2</w:t>
            </w:r>
          </w:p>
        </w:tc>
      </w:tr>
      <w:tr w:rsidR="0047012F" w14:paraId="29745F10" w14:textId="77777777">
        <w:trPr>
          <w:trHeight w:val="270"/>
          <w:jc w:val="center"/>
        </w:trPr>
        <w:tc>
          <w:tcPr>
            <w:tcW w:w="1119" w:type="pct"/>
            <w:tcBorders>
              <w:top w:val="nil"/>
              <w:left w:val="single" w:sz="4" w:space="0" w:color="auto"/>
              <w:bottom w:val="single" w:sz="4" w:space="0" w:color="auto"/>
              <w:right w:val="single" w:sz="4" w:space="0" w:color="auto"/>
            </w:tcBorders>
            <w:shd w:val="clear" w:color="auto" w:fill="auto"/>
          </w:tcPr>
          <w:p w14:paraId="15B8E8CF" w14:textId="77777777" w:rsidR="0047012F" w:rsidRDefault="00000000">
            <w:pPr>
              <w:widowControl/>
              <w:jc w:val="center"/>
              <w:rPr>
                <w:rFonts w:ascii="宋体" w:hAnsi="宋体" w:cs="宋体"/>
                <w:kern w:val="0"/>
                <w:sz w:val="18"/>
                <w:szCs w:val="18"/>
              </w:rPr>
            </w:pPr>
            <w:r>
              <w:rPr>
                <w:rFonts w:ascii="宋体" w:hAnsi="宋体" w:cs="宋体" w:hint="eastAsia"/>
                <w:kern w:val="0"/>
                <w:sz w:val="18"/>
                <w:szCs w:val="18"/>
              </w:rPr>
              <w:lastRenderedPageBreak/>
              <w:t>抽穗</w:t>
            </w:r>
          </w:p>
        </w:tc>
        <w:tc>
          <w:tcPr>
            <w:tcW w:w="1204" w:type="pct"/>
            <w:tcBorders>
              <w:top w:val="nil"/>
              <w:left w:val="nil"/>
              <w:bottom w:val="single" w:sz="4" w:space="0" w:color="auto"/>
              <w:right w:val="single" w:sz="4" w:space="0" w:color="auto"/>
            </w:tcBorders>
            <w:shd w:val="clear" w:color="auto" w:fill="auto"/>
          </w:tcPr>
          <w:p w14:paraId="71C7FE46" w14:textId="77777777" w:rsidR="0047012F" w:rsidRDefault="00000000">
            <w:pPr>
              <w:widowControl/>
              <w:jc w:val="center"/>
              <w:rPr>
                <w:rFonts w:ascii="宋体" w:hAnsi="宋体" w:cs="宋体"/>
                <w:kern w:val="0"/>
                <w:sz w:val="18"/>
                <w:szCs w:val="18"/>
              </w:rPr>
            </w:pPr>
            <w:r>
              <w:rPr>
                <w:rFonts w:ascii="宋体" w:hAnsi="宋体" w:cs="宋体" w:hint="eastAsia"/>
                <w:kern w:val="0"/>
                <w:sz w:val="18"/>
                <w:szCs w:val="18"/>
              </w:rPr>
              <w:t>20～30</w:t>
            </w:r>
          </w:p>
        </w:tc>
        <w:tc>
          <w:tcPr>
            <w:tcW w:w="933" w:type="pct"/>
            <w:tcBorders>
              <w:top w:val="nil"/>
              <w:left w:val="single" w:sz="4" w:space="0" w:color="auto"/>
              <w:bottom w:val="single" w:sz="4" w:space="0" w:color="auto"/>
              <w:right w:val="single" w:sz="4" w:space="0" w:color="auto"/>
            </w:tcBorders>
            <w:shd w:val="clear" w:color="auto" w:fill="auto"/>
          </w:tcPr>
          <w:p w14:paraId="2072C2A9" w14:textId="77777777" w:rsidR="0047012F" w:rsidRDefault="00000000">
            <w:pPr>
              <w:widowControl/>
              <w:jc w:val="center"/>
              <w:rPr>
                <w:rFonts w:ascii="宋体" w:hAnsi="宋体" w:cs="宋体"/>
                <w:kern w:val="0"/>
                <w:sz w:val="18"/>
                <w:szCs w:val="18"/>
              </w:rPr>
            </w:pPr>
            <w:r>
              <w:rPr>
                <w:rFonts w:ascii="宋体" w:hAnsi="宋体" w:cs="宋体" w:hint="eastAsia"/>
                <w:kern w:val="0"/>
                <w:sz w:val="18"/>
                <w:szCs w:val="18"/>
              </w:rPr>
              <w:t>0.5～2</w:t>
            </w:r>
          </w:p>
        </w:tc>
        <w:tc>
          <w:tcPr>
            <w:tcW w:w="832" w:type="pct"/>
            <w:tcBorders>
              <w:top w:val="nil"/>
              <w:left w:val="nil"/>
              <w:bottom w:val="single" w:sz="4" w:space="0" w:color="auto"/>
              <w:right w:val="single" w:sz="4" w:space="0" w:color="auto"/>
            </w:tcBorders>
            <w:shd w:val="clear" w:color="auto" w:fill="auto"/>
          </w:tcPr>
          <w:p w14:paraId="6DA2915A" w14:textId="77777777" w:rsidR="0047012F" w:rsidRDefault="00000000">
            <w:pPr>
              <w:widowControl/>
              <w:jc w:val="center"/>
              <w:rPr>
                <w:rFonts w:ascii="宋体" w:hAnsi="宋体" w:cs="宋体"/>
                <w:kern w:val="0"/>
                <w:sz w:val="18"/>
                <w:szCs w:val="18"/>
              </w:rPr>
            </w:pPr>
            <w:r>
              <w:rPr>
                <w:rFonts w:ascii="宋体" w:hAnsi="宋体" w:cs="宋体" w:hint="eastAsia"/>
                <w:kern w:val="0"/>
                <w:sz w:val="18"/>
                <w:szCs w:val="18"/>
              </w:rPr>
              <w:t>1～4</w:t>
            </w:r>
          </w:p>
        </w:tc>
        <w:tc>
          <w:tcPr>
            <w:tcW w:w="911" w:type="pct"/>
            <w:tcBorders>
              <w:top w:val="nil"/>
              <w:left w:val="nil"/>
              <w:bottom w:val="single" w:sz="4" w:space="0" w:color="auto"/>
              <w:right w:val="single" w:sz="4" w:space="0" w:color="auto"/>
            </w:tcBorders>
            <w:shd w:val="clear" w:color="auto" w:fill="auto"/>
          </w:tcPr>
          <w:p w14:paraId="10AF203C" w14:textId="77777777" w:rsidR="0047012F" w:rsidRDefault="00000000">
            <w:pPr>
              <w:widowControl/>
              <w:jc w:val="center"/>
              <w:rPr>
                <w:rFonts w:ascii="宋体" w:hAnsi="宋体" w:cs="宋体"/>
                <w:kern w:val="0"/>
                <w:sz w:val="18"/>
                <w:szCs w:val="18"/>
              </w:rPr>
            </w:pPr>
            <w:r>
              <w:rPr>
                <w:rFonts w:ascii="宋体" w:hAnsi="宋体" w:cs="宋体" w:hint="eastAsia"/>
                <w:kern w:val="0"/>
                <w:sz w:val="18"/>
                <w:szCs w:val="18"/>
              </w:rPr>
              <w:t>1～3</w:t>
            </w:r>
          </w:p>
        </w:tc>
      </w:tr>
      <w:tr w:rsidR="0047012F" w14:paraId="35CC44B5" w14:textId="77777777">
        <w:trPr>
          <w:trHeight w:val="270"/>
          <w:jc w:val="center"/>
        </w:trPr>
        <w:tc>
          <w:tcPr>
            <w:tcW w:w="1119" w:type="pct"/>
            <w:tcBorders>
              <w:top w:val="nil"/>
              <w:left w:val="single" w:sz="4" w:space="0" w:color="auto"/>
              <w:bottom w:val="single" w:sz="4" w:space="0" w:color="auto"/>
              <w:right w:val="single" w:sz="4" w:space="0" w:color="auto"/>
            </w:tcBorders>
            <w:shd w:val="clear" w:color="auto" w:fill="auto"/>
          </w:tcPr>
          <w:p w14:paraId="706FA44E" w14:textId="77777777" w:rsidR="0047012F" w:rsidRDefault="00000000">
            <w:pPr>
              <w:widowControl/>
              <w:jc w:val="center"/>
              <w:rPr>
                <w:rFonts w:ascii="宋体" w:hAnsi="宋体" w:cs="宋体"/>
                <w:kern w:val="0"/>
                <w:sz w:val="18"/>
                <w:szCs w:val="18"/>
              </w:rPr>
            </w:pPr>
            <w:r>
              <w:rPr>
                <w:rFonts w:ascii="宋体" w:hAnsi="宋体" w:cs="宋体" w:hint="eastAsia"/>
                <w:kern w:val="0"/>
                <w:sz w:val="18"/>
                <w:szCs w:val="18"/>
              </w:rPr>
              <w:t>灌浆</w:t>
            </w:r>
          </w:p>
        </w:tc>
        <w:tc>
          <w:tcPr>
            <w:tcW w:w="1204" w:type="pct"/>
            <w:tcBorders>
              <w:top w:val="nil"/>
              <w:left w:val="nil"/>
              <w:bottom w:val="single" w:sz="4" w:space="0" w:color="auto"/>
              <w:right w:val="single" w:sz="4" w:space="0" w:color="auto"/>
            </w:tcBorders>
            <w:shd w:val="clear" w:color="auto" w:fill="auto"/>
          </w:tcPr>
          <w:p w14:paraId="05FF26B8" w14:textId="77777777" w:rsidR="0047012F" w:rsidRDefault="00000000">
            <w:pPr>
              <w:widowControl/>
              <w:jc w:val="center"/>
              <w:rPr>
                <w:rFonts w:ascii="宋体" w:hAnsi="宋体" w:cs="宋体"/>
                <w:kern w:val="0"/>
                <w:sz w:val="18"/>
                <w:szCs w:val="18"/>
              </w:rPr>
            </w:pPr>
            <w:r>
              <w:rPr>
                <w:rFonts w:ascii="宋体" w:hAnsi="宋体" w:cs="宋体" w:hint="eastAsia"/>
                <w:kern w:val="0"/>
                <w:sz w:val="18"/>
                <w:szCs w:val="18"/>
              </w:rPr>
              <w:t>10～20</w:t>
            </w:r>
          </w:p>
        </w:tc>
        <w:tc>
          <w:tcPr>
            <w:tcW w:w="933" w:type="pct"/>
            <w:tcBorders>
              <w:top w:val="nil"/>
              <w:left w:val="single" w:sz="4" w:space="0" w:color="auto"/>
              <w:bottom w:val="single" w:sz="4" w:space="0" w:color="auto"/>
              <w:right w:val="single" w:sz="4" w:space="0" w:color="auto"/>
            </w:tcBorders>
            <w:shd w:val="clear" w:color="auto" w:fill="auto"/>
          </w:tcPr>
          <w:p w14:paraId="287D275A" w14:textId="77777777" w:rsidR="0047012F" w:rsidRDefault="00000000">
            <w:pPr>
              <w:widowControl/>
              <w:jc w:val="center"/>
              <w:rPr>
                <w:rFonts w:ascii="宋体" w:hAnsi="宋体" w:cs="宋体"/>
                <w:kern w:val="0"/>
                <w:sz w:val="18"/>
                <w:szCs w:val="18"/>
              </w:rPr>
            </w:pPr>
            <w:r>
              <w:rPr>
                <w:rFonts w:ascii="宋体" w:hAnsi="宋体" w:cs="宋体" w:hint="eastAsia"/>
                <w:kern w:val="0"/>
                <w:sz w:val="18"/>
                <w:szCs w:val="18"/>
              </w:rPr>
              <w:t>0.5～2</w:t>
            </w:r>
          </w:p>
        </w:tc>
        <w:tc>
          <w:tcPr>
            <w:tcW w:w="832" w:type="pct"/>
            <w:tcBorders>
              <w:top w:val="nil"/>
              <w:left w:val="nil"/>
              <w:bottom w:val="single" w:sz="4" w:space="0" w:color="auto"/>
              <w:right w:val="single" w:sz="4" w:space="0" w:color="auto"/>
            </w:tcBorders>
            <w:shd w:val="clear" w:color="auto" w:fill="auto"/>
          </w:tcPr>
          <w:p w14:paraId="645B7E9C" w14:textId="77777777" w:rsidR="0047012F" w:rsidRDefault="0047012F">
            <w:pPr>
              <w:widowControl/>
              <w:jc w:val="center"/>
              <w:rPr>
                <w:rFonts w:ascii="宋体" w:hAnsi="宋体" w:cs="宋体"/>
                <w:kern w:val="0"/>
                <w:sz w:val="18"/>
                <w:szCs w:val="18"/>
              </w:rPr>
            </w:pPr>
          </w:p>
        </w:tc>
        <w:tc>
          <w:tcPr>
            <w:tcW w:w="911" w:type="pct"/>
            <w:tcBorders>
              <w:top w:val="nil"/>
              <w:left w:val="nil"/>
              <w:bottom w:val="single" w:sz="4" w:space="0" w:color="auto"/>
              <w:right w:val="single" w:sz="4" w:space="0" w:color="auto"/>
            </w:tcBorders>
            <w:shd w:val="clear" w:color="auto" w:fill="auto"/>
          </w:tcPr>
          <w:p w14:paraId="25151B7D" w14:textId="77777777" w:rsidR="0047012F" w:rsidRDefault="0047012F">
            <w:pPr>
              <w:widowControl/>
              <w:jc w:val="center"/>
              <w:rPr>
                <w:rFonts w:ascii="宋体" w:hAnsi="宋体" w:cs="宋体"/>
                <w:kern w:val="0"/>
                <w:sz w:val="18"/>
                <w:szCs w:val="18"/>
              </w:rPr>
            </w:pPr>
          </w:p>
        </w:tc>
      </w:tr>
      <w:tr w:rsidR="0047012F" w14:paraId="2A5CD179" w14:textId="77777777">
        <w:trPr>
          <w:trHeight w:val="270"/>
          <w:jc w:val="center"/>
        </w:trPr>
        <w:tc>
          <w:tcPr>
            <w:tcW w:w="1119" w:type="pct"/>
            <w:tcBorders>
              <w:top w:val="nil"/>
              <w:left w:val="single" w:sz="4" w:space="0" w:color="auto"/>
              <w:bottom w:val="single" w:sz="4" w:space="0" w:color="auto"/>
              <w:right w:val="single" w:sz="4" w:space="0" w:color="auto"/>
            </w:tcBorders>
            <w:shd w:val="clear" w:color="auto" w:fill="auto"/>
          </w:tcPr>
          <w:p w14:paraId="7874935D" w14:textId="77777777" w:rsidR="0047012F" w:rsidRDefault="00000000">
            <w:pPr>
              <w:widowControl/>
              <w:jc w:val="center"/>
              <w:rPr>
                <w:rFonts w:ascii="宋体" w:hAnsi="宋体" w:cs="宋体"/>
                <w:kern w:val="0"/>
                <w:sz w:val="18"/>
                <w:szCs w:val="18"/>
              </w:rPr>
            </w:pPr>
            <w:r>
              <w:rPr>
                <w:rFonts w:ascii="宋体" w:hAnsi="宋体" w:cs="宋体" w:hint="eastAsia"/>
                <w:kern w:val="0"/>
                <w:sz w:val="18"/>
                <w:szCs w:val="18"/>
              </w:rPr>
              <w:t>总计</w:t>
            </w:r>
          </w:p>
        </w:tc>
        <w:tc>
          <w:tcPr>
            <w:tcW w:w="1204" w:type="pct"/>
            <w:tcBorders>
              <w:top w:val="nil"/>
              <w:left w:val="nil"/>
              <w:bottom w:val="single" w:sz="4" w:space="0" w:color="auto"/>
              <w:right w:val="single" w:sz="4" w:space="0" w:color="auto"/>
            </w:tcBorders>
            <w:shd w:val="clear" w:color="auto" w:fill="auto"/>
          </w:tcPr>
          <w:p w14:paraId="2B465F28" w14:textId="77777777" w:rsidR="0047012F" w:rsidRDefault="00000000">
            <w:pPr>
              <w:widowControl/>
              <w:jc w:val="center"/>
              <w:rPr>
                <w:rFonts w:ascii="宋体" w:hAnsi="宋体" w:cs="宋体"/>
                <w:kern w:val="0"/>
                <w:sz w:val="18"/>
                <w:szCs w:val="18"/>
              </w:rPr>
            </w:pPr>
            <w:r>
              <w:rPr>
                <w:rFonts w:ascii="宋体" w:hAnsi="宋体" w:cs="宋体" w:hint="eastAsia"/>
                <w:kern w:val="0"/>
                <w:sz w:val="18"/>
                <w:szCs w:val="18"/>
              </w:rPr>
              <w:t>120～210</w:t>
            </w:r>
          </w:p>
        </w:tc>
        <w:tc>
          <w:tcPr>
            <w:tcW w:w="933" w:type="pct"/>
            <w:tcBorders>
              <w:top w:val="nil"/>
              <w:left w:val="single" w:sz="4" w:space="0" w:color="auto"/>
              <w:bottom w:val="single" w:sz="4" w:space="0" w:color="auto"/>
              <w:right w:val="single" w:sz="4" w:space="0" w:color="auto"/>
            </w:tcBorders>
            <w:shd w:val="clear" w:color="auto" w:fill="auto"/>
          </w:tcPr>
          <w:p w14:paraId="45BD4B7C" w14:textId="77777777" w:rsidR="0047012F" w:rsidRDefault="00000000">
            <w:pPr>
              <w:widowControl/>
              <w:jc w:val="center"/>
              <w:rPr>
                <w:rFonts w:ascii="宋体" w:hAnsi="宋体" w:cs="宋体"/>
                <w:kern w:val="0"/>
                <w:sz w:val="18"/>
                <w:szCs w:val="18"/>
              </w:rPr>
            </w:pPr>
            <w:r>
              <w:rPr>
                <w:rFonts w:ascii="宋体" w:hAnsi="宋体" w:cs="宋体" w:hint="eastAsia"/>
                <w:kern w:val="0"/>
                <w:sz w:val="18"/>
                <w:szCs w:val="18"/>
              </w:rPr>
              <w:t>10～22</w:t>
            </w:r>
          </w:p>
        </w:tc>
        <w:tc>
          <w:tcPr>
            <w:tcW w:w="832" w:type="pct"/>
            <w:tcBorders>
              <w:top w:val="nil"/>
              <w:left w:val="nil"/>
              <w:bottom w:val="single" w:sz="4" w:space="0" w:color="auto"/>
              <w:right w:val="single" w:sz="4" w:space="0" w:color="auto"/>
            </w:tcBorders>
            <w:shd w:val="clear" w:color="auto" w:fill="auto"/>
            <w:vAlign w:val="bottom"/>
          </w:tcPr>
          <w:p w14:paraId="0A05B89B" w14:textId="77777777" w:rsidR="0047012F" w:rsidRDefault="00000000">
            <w:pPr>
              <w:widowControl/>
              <w:jc w:val="center"/>
              <w:rPr>
                <w:rFonts w:ascii="宋体" w:hAnsi="宋体" w:cs="宋体"/>
                <w:kern w:val="0"/>
                <w:sz w:val="18"/>
                <w:szCs w:val="18"/>
              </w:rPr>
            </w:pPr>
            <w:r>
              <w:rPr>
                <w:rFonts w:ascii="宋体" w:hAnsi="宋体" w:cs="宋体" w:hint="eastAsia"/>
                <w:kern w:val="0"/>
                <w:sz w:val="18"/>
                <w:szCs w:val="18"/>
              </w:rPr>
              <w:t>5～16</w:t>
            </w:r>
          </w:p>
        </w:tc>
        <w:tc>
          <w:tcPr>
            <w:tcW w:w="911" w:type="pct"/>
            <w:tcBorders>
              <w:top w:val="nil"/>
              <w:left w:val="nil"/>
              <w:bottom w:val="single" w:sz="4" w:space="0" w:color="auto"/>
              <w:right w:val="single" w:sz="4" w:space="0" w:color="auto"/>
            </w:tcBorders>
            <w:shd w:val="clear" w:color="auto" w:fill="auto"/>
          </w:tcPr>
          <w:p w14:paraId="1887BCA5" w14:textId="77777777" w:rsidR="0047012F" w:rsidRDefault="00000000">
            <w:pPr>
              <w:widowControl/>
              <w:jc w:val="center"/>
              <w:rPr>
                <w:rFonts w:ascii="宋体" w:hAnsi="宋体" w:cs="宋体"/>
                <w:kern w:val="0"/>
                <w:sz w:val="18"/>
                <w:szCs w:val="18"/>
              </w:rPr>
            </w:pPr>
            <w:r>
              <w:rPr>
                <w:rFonts w:ascii="宋体" w:hAnsi="宋体" w:cs="宋体" w:hint="eastAsia"/>
                <w:kern w:val="0"/>
                <w:sz w:val="18"/>
                <w:szCs w:val="18"/>
              </w:rPr>
              <w:t>5～10</w:t>
            </w:r>
          </w:p>
        </w:tc>
      </w:tr>
    </w:tbl>
    <w:p w14:paraId="45DCC608" w14:textId="77777777" w:rsidR="0047012F" w:rsidRPr="00CE1F44" w:rsidRDefault="00000000" w:rsidP="00CE1F44">
      <w:pPr>
        <w:pStyle w:val="BodyText21"/>
        <w:ind w:firstLineChars="200" w:firstLine="560"/>
        <w:rPr>
          <w:rFonts w:ascii="仿宋_GB2312" w:eastAsia="仿宋_GB2312"/>
          <w:color w:val="auto"/>
          <w:sz w:val="28"/>
          <w:szCs w:val="22"/>
        </w:rPr>
      </w:pPr>
      <w:r w:rsidRPr="00CE1F44">
        <w:rPr>
          <w:rFonts w:ascii="仿宋_GB2312" w:eastAsia="仿宋_GB2312" w:hint="eastAsia"/>
          <w:color w:val="auto"/>
          <w:sz w:val="28"/>
          <w:szCs w:val="22"/>
        </w:rPr>
        <w:t>第8章 配套栽培技术要点</w:t>
      </w:r>
    </w:p>
    <w:p w14:paraId="41A5E7CA" w14:textId="77777777" w:rsidR="0047012F" w:rsidRPr="00CE1F44" w:rsidRDefault="00000000">
      <w:pPr>
        <w:pStyle w:val="BodyText21"/>
        <w:ind w:firstLineChars="200" w:firstLine="560"/>
        <w:rPr>
          <w:rFonts w:ascii="仿宋_GB2312" w:eastAsia="仿宋_GB2312"/>
          <w:color w:val="auto"/>
          <w:sz w:val="28"/>
          <w:szCs w:val="22"/>
        </w:rPr>
      </w:pPr>
      <w:r w:rsidRPr="00CE1F44">
        <w:rPr>
          <w:rFonts w:ascii="仿宋_GB2312" w:eastAsia="仿宋_GB2312" w:hint="eastAsia"/>
          <w:color w:val="auto"/>
          <w:sz w:val="28"/>
          <w:szCs w:val="22"/>
        </w:rPr>
        <w:t>包括选择适宜品种、播前精细整地、适期适量播种、采用一喷多</w:t>
      </w:r>
      <w:r>
        <w:rPr>
          <w:rFonts w:ascii="仿宋_GB2312" w:eastAsia="仿宋_GB2312" w:hint="eastAsia"/>
          <w:color w:val="auto"/>
          <w:sz w:val="28"/>
          <w:szCs w:val="22"/>
        </w:rPr>
        <w:t>防4个方面的配套栽培技术，根据小麦生长需求，结合生产实践，明确了关键生育时期</w:t>
      </w:r>
      <w:r w:rsidRPr="00CE1F44">
        <w:rPr>
          <w:rFonts w:ascii="仿宋_GB2312" w:eastAsia="仿宋_GB2312" w:hint="eastAsia"/>
          <w:color w:val="auto"/>
          <w:sz w:val="28"/>
          <w:szCs w:val="22"/>
        </w:rPr>
        <w:t>配套栽培技术，确保水肥一体化取得良好的应用效果。</w:t>
      </w:r>
    </w:p>
    <w:p w14:paraId="14BA03C8" w14:textId="77777777" w:rsidR="0047012F" w:rsidRPr="00CE1F44" w:rsidRDefault="00000000" w:rsidP="00CE1F44">
      <w:pPr>
        <w:pStyle w:val="BodyText21"/>
        <w:ind w:firstLineChars="200" w:firstLine="560"/>
        <w:rPr>
          <w:rFonts w:ascii="仿宋_GB2312" w:eastAsia="仿宋_GB2312"/>
          <w:color w:val="auto"/>
          <w:sz w:val="28"/>
          <w:szCs w:val="22"/>
        </w:rPr>
      </w:pPr>
      <w:r w:rsidRPr="00CE1F44">
        <w:rPr>
          <w:rFonts w:ascii="仿宋_GB2312" w:eastAsia="仿宋_GB2312" w:hint="eastAsia"/>
          <w:color w:val="auto"/>
          <w:sz w:val="28"/>
          <w:szCs w:val="22"/>
        </w:rPr>
        <w:t>2、</w:t>
      </w:r>
      <w:r w:rsidRPr="00CE1F44">
        <w:rPr>
          <w:rFonts w:ascii="仿宋_GB2312" w:eastAsia="仿宋_GB2312"/>
          <w:color w:val="auto"/>
          <w:sz w:val="28"/>
          <w:szCs w:val="22"/>
        </w:rPr>
        <w:t>主要技术指标、参数、实验验证的论述</w:t>
      </w:r>
    </w:p>
    <w:p w14:paraId="3F2FC980" w14:textId="77777777" w:rsidR="0047012F" w:rsidRPr="00CE1F44" w:rsidRDefault="00000000" w:rsidP="00CE1F44">
      <w:pPr>
        <w:pStyle w:val="BodyText21"/>
        <w:ind w:firstLineChars="200" w:firstLine="560"/>
        <w:rPr>
          <w:rFonts w:ascii="仿宋_GB2312" w:eastAsia="仿宋_GB2312"/>
          <w:color w:val="auto"/>
          <w:sz w:val="28"/>
          <w:szCs w:val="22"/>
        </w:rPr>
      </w:pPr>
      <w:r w:rsidRPr="00CE1F44">
        <w:rPr>
          <w:rFonts w:ascii="仿宋_GB2312" w:eastAsia="仿宋_GB2312"/>
          <w:color w:val="auto"/>
          <w:sz w:val="28"/>
          <w:szCs w:val="22"/>
        </w:rPr>
        <w:t>本标准中</w:t>
      </w:r>
      <w:r w:rsidRPr="00CE1F44">
        <w:rPr>
          <w:rFonts w:ascii="仿宋_GB2312" w:eastAsia="仿宋_GB2312" w:hint="eastAsia"/>
          <w:color w:val="auto"/>
          <w:sz w:val="28"/>
          <w:szCs w:val="22"/>
        </w:rPr>
        <w:t>涉及</w:t>
      </w:r>
      <w:r w:rsidRPr="00CE1F44">
        <w:rPr>
          <w:rFonts w:ascii="仿宋_GB2312" w:eastAsia="仿宋_GB2312"/>
          <w:color w:val="auto"/>
          <w:sz w:val="28"/>
          <w:szCs w:val="22"/>
        </w:rPr>
        <w:t>的主要技术指标和参数</w:t>
      </w:r>
      <w:r w:rsidRPr="00CE1F44">
        <w:rPr>
          <w:rFonts w:ascii="仿宋_GB2312" w:eastAsia="仿宋_GB2312" w:hint="eastAsia"/>
          <w:color w:val="auto"/>
          <w:sz w:val="28"/>
          <w:szCs w:val="22"/>
        </w:rPr>
        <w:t>主要来自于</w:t>
      </w:r>
      <w:r w:rsidRPr="00CE1F44">
        <w:rPr>
          <w:rFonts w:ascii="仿宋_GB2312" w:eastAsia="仿宋_GB2312"/>
          <w:color w:val="auto"/>
          <w:sz w:val="28"/>
          <w:szCs w:val="22"/>
        </w:rPr>
        <w:t>编制单位多年试验、示范和推广经验及生产实践</w:t>
      </w:r>
      <w:r w:rsidRPr="00CE1F44">
        <w:rPr>
          <w:rFonts w:ascii="仿宋_GB2312" w:eastAsia="仿宋_GB2312" w:hint="eastAsia"/>
          <w:color w:val="auto"/>
          <w:sz w:val="28"/>
          <w:szCs w:val="22"/>
        </w:rPr>
        <w:t>，并在标准起草过程中，</w:t>
      </w:r>
      <w:r w:rsidRPr="00CE1F44">
        <w:rPr>
          <w:rFonts w:ascii="仿宋_GB2312" w:eastAsia="仿宋_GB2312"/>
          <w:color w:val="auto"/>
          <w:sz w:val="28"/>
          <w:szCs w:val="22"/>
        </w:rPr>
        <w:t>请相关科研院所专家、推广技术人员和种植者进行了</w:t>
      </w:r>
      <w:r w:rsidRPr="00CE1F44">
        <w:rPr>
          <w:rFonts w:ascii="仿宋_GB2312" w:eastAsia="仿宋_GB2312" w:hint="eastAsia"/>
          <w:color w:val="auto"/>
          <w:sz w:val="28"/>
          <w:szCs w:val="22"/>
        </w:rPr>
        <w:t>核实和确定，</w:t>
      </w:r>
      <w:r w:rsidRPr="00CE1F44">
        <w:rPr>
          <w:rFonts w:ascii="仿宋_GB2312" w:eastAsia="仿宋_GB2312"/>
          <w:color w:val="auto"/>
          <w:sz w:val="28"/>
          <w:szCs w:val="22"/>
        </w:rPr>
        <w:t>起草小组根据反馈意见和建议，对标准内容进行了修改，形成征求意见稿和送审稿。</w:t>
      </w:r>
    </w:p>
    <w:p w14:paraId="27521608" w14:textId="77777777" w:rsidR="0047012F" w:rsidRDefault="00000000">
      <w:pPr>
        <w:numPr>
          <w:ilvl w:val="0"/>
          <w:numId w:val="2"/>
        </w:numPr>
        <w:ind w:left="0" w:firstLineChars="200" w:firstLine="640"/>
        <w:rPr>
          <w:rFonts w:ascii="黑体" w:eastAsia="黑体" w:hAnsi="黑体" w:cs="黑体"/>
          <w:sz w:val="32"/>
        </w:rPr>
      </w:pPr>
      <w:r>
        <w:rPr>
          <w:rFonts w:ascii="黑体" w:eastAsia="黑体" w:hAnsi="黑体" w:cs="黑体" w:hint="eastAsia"/>
          <w:sz w:val="32"/>
        </w:rPr>
        <w:t>重大意见分歧的处理依据和结果。</w:t>
      </w:r>
    </w:p>
    <w:p w14:paraId="13240547" w14:textId="77777777" w:rsidR="0047012F" w:rsidRDefault="00000000">
      <w:pPr>
        <w:pStyle w:val="BodyText21"/>
        <w:ind w:firstLineChars="200" w:firstLine="560"/>
        <w:rPr>
          <w:rFonts w:ascii="仿宋_GB2312" w:eastAsia="仿宋_GB2312"/>
          <w:color w:val="auto"/>
          <w:sz w:val="28"/>
          <w:szCs w:val="22"/>
        </w:rPr>
      </w:pPr>
      <w:r>
        <w:rPr>
          <w:rFonts w:ascii="仿宋_GB2312" w:eastAsia="仿宋_GB2312" w:hint="eastAsia"/>
          <w:color w:val="auto"/>
          <w:sz w:val="28"/>
          <w:szCs w:val="22"/>
        </w:rPr>
        <w:t>无</w:t>
      </w:r>
    </w:p>
    <w:p w14:paraId="67EB3C7F" w14:textId="77777777" w:rsidR="0047012F" w:rsidRDefault="00000000">
      <w:pPr>
        <w:numPr>
          <w:ilvl w:val="0"/>
          <w:numId w:val="2"/>
        </w:numPr>
        <w:ind w:left="0" w:firstLineChars="200" w:firstLine="640"/>
        <w:rPr>
          <w:rFonts w:ascii="黑体" w:eastAsia="黑体" w:hAnsi="黑体" w:cs="黑体"/>
          <w:sz w:val="32"/>
        </w:rPr>
      </w:pPr>
      <w:r>
        <w:rPr>
          <w:rFonts w:ascii="黑体" w:eastAsia="黑体" w:hAnsi="黑体" w:cs="黑体" w:hint="eastAsia"/>
          <w:sz w:val="32"/>
        </w:rPr>
        <w:t>与国内外同类标准水平的对比情况。</w:t>
      </w:r>
    </w:p>
    <w:p w14:paraId="467CCDD2" w14:textId="77777777" w:rsidR="0047012F" w:rsidRDefault="00000000">
      <w:pPr>
        <w:pStyle w:val="BodyText21"/>
        <w:ind w:firstLineChars="200" w:firstLine="560"/>
        <w:rPr>
          <w:rFonts w:ascii="仿宋_GB2312" w:eastAsia="仿宋_GB2312"/>
          <w:color w:val="auto"/>
          <w:sz w:val="28"/>
          <w:szCs w:val="22"/>
        </w:rPr>
      </w:pPr>
      <w:r>
        <w:rPr>
          <w:rFonts w:ascii="仿宋_GB2312" w:eastAsia="仿宋_GB2312" w:hint="eastAsia"/>
          <w:color w:val="auto"/>
          <w:sz w:val="28"/>
          <w:szCs w:val="22"/>
        </w:rPr>
        <w:t>本标准未采用国际标准或国外先进标准。</w:t>
      </w:r>
    </w:p>
    <w:p w14:paraId="3CF0CA87" w14:textId="77777777" w:rsidR="0047012F" w:rsidRDefault="00000000">
      <w:pPr>
        <w:pStyle w:val="BodyText21"/>
        <w:ind w:firstLineChars="200" w:firstLine="560"/>
        <w:rPr>
          <w:rFonts w:ascii="仿宋_GB2312" w:eastAsia="仿宋_GB2312"/>
          <w:color w:val="auto"/>
          <w:sz w:val="28"/>
          <w:szCs w:val="22"/>
        </w:rPr>
      </w:pPr>
      <w:r>
        <w:rPr>
          <w:rFonts w:ascii="仿宋_GB2312" w:eastAsia="仿宋_GB2312" w:hint="eastAsia"/>
          <w:color w:val="auto"/>
          <w:sz w:val="28"/>
          <w:szCs w:val="22"/>
        </w:rPr>
        <w:t>本标准与NY/T 2624-2014相比，增加了小麦喷灌水肥一体化具体灌溉施肥制度。</w:t>
      </w:r>
    </w:p>
    <w:p w14:paraId="7C9683B1" w14:textId="77777777" w:rsidR="0047012F" w:rsidRDefault="00000000">
      <w:pPr>
        <w:pStyle w:val="BodyText21"/>
        <w:ind w:firstLineChars="200" w:firstLine="560"/>
        <w:rPr>
          <w:rFonts w:ascii="仿宋_GB2312" w:eastAsia="仿宋_GB2312"/>
          <w:color w:val="auto"/>
          <w:sz w:val="28"/>
          <w:szCs w:val="22"/>
        </w:rPr>
      </w:pPr>
      <w:r>
        <w:rPr>
          <w:rFonts w:ascii="仿宋_GB2312" w:eastAsia="仿宋_GB2312" w:hint="eastAsia"/>
          <w:color w:val="auto"/>
          <w:sz w:val="28"/>
          <w:szCs w:val="22"/>
        </w:rPr>
        <w:t>本标准与NY/T 3553-2020相比，增加了半固定喷灌和圆形喷灌机等节水灌溉方式的水肥一体化技术内容，提出了适宜北京地区的水肥管理制度。</w:t>
      </w:r>
    </w:p>
    <w:p w14:paraId="354717A9" w14:textId="77777777" w:rsidR="0047012F" w:rsidRDefault="00000000">
      <w:pPr>
        <w:pStyle w:val="BodyText21"/>
        <w:ind w:firstLineChars="200" w:firstLine="560"/>
        <w:rPr>
          <w:rFonts w:eastAsia="宋体" w:hAnsi="Times"/>
          <w:sz w:val="28"/>
          <w:szCs w:val="28"/>
        </w:rPr>
      </w:pPr>
      <w:r>
        <w:rPr>
          <w:rFonts w:ascii="仿宋_GB2312" w:eastAsia="仿宋_GB2312" w:hint="eastAsia"/>
          <w:color w:val="auto"/>
          <w:sz w:val="28"/>
          <w:szCs w:val="22"/>
        </w:rPr>
        <w:t>本标准更适宜北京市小麦喷灌水肥一体化技术推广应用。</w:t>
      </w:r>
    </w:p>
    <w:p w14:paraId="036379B4" w14:textId="77777777" w:rsidR="0047012F" w:rsidRDefault="00000000">
      <w:pPr>
        <w:numPr>
          <w:ilvl w:val="0"/>
          <w:numId w:val="2"/>
        </w:numPr>
        <w:ind w:left="0" w:firstLineChars="200" w:firstLine="640"/>
        <w:rPr>
          <w:rFonts w:ascii="黑体" w:eastAsia="黑体" w:hAnsi="黑体" w:cs="黑体"/>
          <w:sz w:val="32"/>
        </w:rPr>
      </w:pPr>
      <w:r>
        <w:rPr>
          <w:rFonts w:ascii="黑体" w:eastAsia="黑体" w:hAnsi="黑体" w:cs="黑体" w:hint="eastAsia"/>
          <w:sz w:val="32"/>
        </w:rPr>
        <w:t>作为推荐性标准或者强制性标准的建议及其理由。</w:t>
      </w:r>
    </w:p>
    <w:p w14:paraId="1A409090" w14:textId="77777777" w:rsidR="0047012F" w:rsidRDefault="00000000">
      <w:pPr>
        <w:ind w:firstLineChars="200" w:firstLine="560"/>
        <w:rPr>
          <w:rFonts w:ascii="仿宋_GB2312" w:eastAsia="仿宋_GB2312"/>
          <w:sz w:val="28"/>
          <w:szCs w:val="22"/>
        </w:rPr>
      </w:pPr>
      <w:r>
        <w:rPr>
          <w:rFonts w:ascii="仿宋_GB2312" w:eastAsia="仿宋_GB2312" w:hint="eastAsia"/>
          <w:sz w:val="28"/>
          <w:szCs w:val="22"/>
        </w:rPr>
        <w:lastRenderedPageBreak/>
        <w:t>无</w:t>
      </w:r>
    </w:p>
    <w:p w14:paraId="39F69132" w14:textId="77777777" w:rsidR="0047012F" w:rsidRDefault="00000000">
      <w:pPr>
        <w:numPr>
          <w:ilvl w:val="0"/>
          <w:numId w:val="2"/>
        </w:numPr>
        <w:ind w:left="0" w:firstLineChars="200" w:firstLine="640"/>
        <w:rPr>
          <w:rFonts w:ascii="黑体" w:eastAsia="黑体" w:hAnsi="黑体" w:cs="黑体"/>
          <w:sz w:val="32"/>
        </w:rPr>
      </w:pPr>
      <w:r>
        <w:rPr>
          <w:rFonts w:ascii="黑体" w:eastAsia="黑体" w:hAnsi="黑体" w:cs="黑体" w:hint="eastAsia"/>
          <w:sz w:val="32"/>
        </w:rPr>
        <w:t>强制性标准实施的风险点、风险程度、风险防控措施和预案。</w:t>
      </w:r>
    </w:p>
    <w:p w14:paraId="432CFD6F" w14:textId="77777777" w:rsidR="0047012F" w:rsidRDefault="00000000">
      <w:pPr>
        <w:ind w:firstLineChars="200" w:firstLine="560"/>
        <w:rPr>
          <w:rFonts w:ascii="仿宋_GB2312" w:eastAsia="仿宋_GB2312"/>
          <w:sz w:val="28"/>
          <w:szCs w:val="22"/>
        </w:rPr>
      </w:pPr>
      <w:r>
        <w:rPr>
          <w:rFonts w:ascii="仿宋_GB2312" w:eastAsia="仿宋_GB2312" w:hint="eastAsia"/>
          <w:sz w:val="28"/>
          <w:szCs w:val="22"/>
        </w:rPr>
        <w:t>无</w:t>
      </w:r>
    </w:p>
    <w:p w14:paraId="30037619" w14:textId="77777777" w:rsidR="0047012F" w:rsidRDefault="00000000">
      <w:pPr>
        <w:numPr>
          <w:ilvl w:val="0"/>
          <w:numId w:val="2"/>
        </w:numPr>
        <w:ind w:left="0" w:firstLineChars="200" w:firstLine="640"/>
        <w:rPr>
          <w:rFonts w:ascii="黑体" w:eastAsia="黑体" w:hAnsi="黑体" w:cs="黑体"/>
          <w:sz w:val="32"/>
        </w:rPr>
      </w:pPr>
      <w:r>
        <w:rPr>
          <w:rFonts w:ascii="黑体" w:eastAsia="黑体" w:hAnsi="黑体" w:cs="黑体" w:hint="eastAsia"/>
          <w:sz w:val="32"/>
        </w:rPr>
        <w:t>实施标准的措施(政策措施/宣</w:t>
      </w:r>
      <w:proofErr w:type="gramStart"/>
      <w:r>
        <w:rPr>
          <w:rFonts w:ascii="黑体" w:eastAsia="黑体" w:hAnsi="黑体" w:cs="黑体" w:hint="eastAsia"/>
          <w:sz w:val="32"/>
        </w:rPr>
        <w:t>贯培训</w:t>
      </w:r>
      <w:proofErr w:type="gramEnd"/>
      <w:r>
        <w:rPr>
          <w:rFonts w:ascii="黑体" w:eastAsia="黑体" w:hAnsi="黑体" w:cs="黑体" w:hint="eastAsia"/>
          <w:sz w:val="32"/>
        </w:rPr>
        <w:t>/试点示范/监督检查/配套资金等)。</w:t>
      </w:r>
    </w:p>
    <w:p w14:paraId="0FD670B5" w14:textId="77777777" w:rsidR="0047012F" w:rsidRDefault="00000000">
      <w:pPr>
        <w:spacing w:line="360" w:lineRule="auto"/>
        <w:ind w:firstLineChars="200" w:firstLine="560"/>
        <w:rPr>
          <w:rFonts w:ascii="CESI仿宋-GB2312" w:eastAsia="CESI仿宋-GB2312" w:hAnsi="CESI仿宋-GB2312" w:cs="CESI仿宋-GB2312"/>
          <w:sz w:val="28"/>
          <w:szCs w:val="22"/>
        </w:rPr>
      </w:pPr>
      <w:r>
        <w:rPr>
          <w:rFonts w:ascii="CESI仿宋-GB2312" w:eastAsia="CESI仿宋-GB2312" w:hAnsi="CESI仿宋-GB2312" w:cs="CESI仿宋-GB2312" w:hint="eastAsia"/>
          <w:sz w:val="28"/>
          <w:szCs w:val="22"/>
        </w:rPr>
        <w:t>（一）网络宣传。充分利用报纸、网站和</w:t>
      </w:r>
      <w:proofErr w:type="gramStart"/>
      <w:r>
        <w:rPr>
          <w:rFonts w:ascii="CESI仿宋-GB2312" w:eastAsia="CESI仿宋-GB2312" w:hAnsi="CESI仿宋-GB2312" w:cs="CESI仿宋-GB2312" w:hint="eastAsia"/>
          <w:sz w:val="28"/>
          <w:szCs w:val="22"/>
        </w:rPr>
        <w:t>微信公众号</w:t>
      </w:r>
      <w:proofErr w:type="gramEnd"/>
      <w:r>
        <w:rPr>
          <w:rFonts w:ascii="CESI仿宋-GB2312" w:eastAsia="CESI仿宋-GB2312" w:hAnsi="CESI仿宋-GB2312" w:cs="CESI仿宋-GB2312" w:hint="eastAsia"/>
          <w:sz w:val="28"/>
          <w:szCs w:val="22"/>
        </w:rPr>
        <w:t>等媒体平台，全方位、深层次、多角度进行宣传报道。</w:t>
      </w:r>
    </w:p>
    <w:p w14:paraId="30AE7824" w14:textId="77777777" w:rsidR="0047012F" w:rsidRDefault="00000000">
      <w:pPr>
        <w:pStyle w:val="BodyText21"/>
        <w:spacing w:line="360" w:lineRule="auto"/>
        <w:ind w:firstLineChars="200" w:firstLine="560"/>
        <w:rPr>
          <w:rFonts w:ascii="CESI仿宋-GB2312" w:eastAsia="CESI仿宋-GB2312" w:hAnsi="CESI仿宋-GB2312" w:cs="CESI仿宋-GB2312"/>
          <w:color w:val="auto"/>
          <w:sz w:val="28"/>
          <w:szCs w:val="22"/>
        </w:rPr>
      </w:pPr>
      <w:r>
        <w:rPr>
          <w:rFonts w:ascii="CESI仿宋-GB2312" w:eastAsia="CESI仿宋-GB2312" w:hAnsi="CESI仿宋-GB2312" w:cs="CESI仿宋-GB2312" w:hint="eastAsia"/>
          <w:color w:val="auto"/>
          <w:sz w:val="28"/>
          <w:szCs w:val="22"/>
        </w:rPr>
        <w:t>（二）宣贯培训。对小麦种植户组织针对性培训，线上线下培训相结合，推动喷灌水肥一体化技术的应用。</w:t>
      </w:r>
    </w:p>
    <w:p w14:paraId="3043D33F" w14:textId="77777777" w:rsidR="0047012F" w:rsidRDefault="00000000">
      <w:pPr>
        <w:pStyle w:val="BodyText21"/>
        <w:spacing w:line="360" w:lineRule="auto"/>
        <w:ind w:firstLineChars="200" w:firstLine="560"/>
        <w:rPr>
          <w:rFonts w:ascii="CESI仿宋-GB2312" w:eastAsia="CESI仿宋-GB2312" w:hAnsi="CESI仿宋-GB2312" w:cs="CESI仿宋-GB2312"/>
          <w:color w:val="auto"/>
          <w:sz w:val="28"/>
          <w:szCs w:val="22"/>
        </w:rPr>
      </w:pPr>
      <w:r>
        <w:rPr>
          <w:rFonts w:ascii="CESI仿宋-GB2312" w:eastAsia="CESI仿宋-GB2312" w:hAnsi="CESI仿宋-GB2312" w:cs="CESI仿宋-GB2312" w:hint="eastAsia"/>
          <w:color w:val="auto"/>
          <w:sz w:val="28"/>
          <w:szCs w:val="22"/>
        </w:rPr>
        <w:t>（三）试点示范。在顺义和房山等小麦主产区，建立喷灌水肥一体化示范点，展示技术应用效果，辐射带动技术推广。</w:t>
      </w:r>
    </w:p>
    <w:p w14:paraId="350BED62" w14:textId="77777777" w:rsidR="0047012F" w:rsidRDefault="00000000">
      <w:pPr>
        <w:numPr>
          <w:ilvl w:val="0"/>
          <w:numId w:val="2"/>
        </w:numPr>
        <w:ind w:left="0" w:firstLineChars="200" w:firstLine="640"/>
        <w:rPr>
          <w:rFonts w:ascii="黑体" w:eastAsia="黑体" w:hAnsi="黑体" w:cs="黑体"/>
          <w:sz w:val="32"/>
        </w:rPr>
      </w:pPr>
      <w:r>
        <w:rPr>
          <w:rFonts w:ascii="黑体" w:eastAsia="黑体" w:hAnsi="黑体" w:cs="黑体" w:hint="eastAsia"/>
          <w:sz w:val="32"/>
        </w:rPr>
        <w:t>其他应说明的事项。</w:t>
      </w:r>
    </w:p>
    <w:p w14:paraId="259E85BF" w14:textId="77777777" w:rsidR="0047012F" w:rsidRDefault="00000000">
      <w:pPr>
        <w:pStyle w:val="BodyText21"/>
        <w:spacing w:line="360" w:lineRule="auto"/>
        <w:ind w:firstLineChars="200" w:firstLine="560"/>
        <w:rPr>
          <w:rFonts w:ascii="CESI仿宋-GB2312" w:eastAsia="CESI仿宋-GB2312" w:hAnsi="CESI仿宋-GB2312" w:cs="CESI仿宋-GB2312"/>
          <w:color w:val="auto"/>
          <w:sz w:val="28"/>
          <w:szCs w:val="22"/>
        </w:rPr>
      </w:pPr>
      <w:r>
        <w:rPr>
          <w:rFonts w:ascii="CESI仿宋-GB2312" w:eastAsia="CESI仿宋-GB2312" w:hAnsi="CESI仿宋-GB2312" w:cs="CESI仿宋-GB2312" w:hint="eastAsia"/>
          <w:color w:val="auto"/>
          <w:sz w:val="28"/>
          <w:szCs w:val="22"/>
        </w:rPr>
        <w:t>无</w:t>
      </w:r>
    </w:p>
    <w:sectPr w:rsidR="0047012F">
      <w:pgSz w:w="11906" w:h="16838"/>
      <w:pgMar w:top="1440" w:right="1800" w:bottom="1440" w:left="1800" w:header="851" w:footer="992" w:gutter="0"/>
      <w:cols w:space="720"/>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方正仿宋_GBK">
    <w:altName w:val="微软雅黑"/>
    <w:charset w:val="86"/>
    <w:family w:val="auto"/>
    <w:pitch w:val="default"/>
    <w:sig w:usb0="00000001" w:usb1="08000000" w:usb2="0000000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华文中宋">
    <w:altName w:val="汉仪中宋简"/>
    <w:panose1 w:val="02010600040101010101"/>
    <w:charset w:val="86"/>
    <w:family w:val="auto"/>
    <w:pitch w:val="variable"/>
    <w:sig w:usb0="00000287" w:usb1="080F0000" w:usb2="00000010" w:usb3="00000000" w:csb0="0004009F" w:csb1="00000000"/>
  </w:font>
  <w:font w:name="仿宋_GB2312">
    <w:altName w:val="微软雅黑"/>
    <w:charset w:val="86"/>
    <w:family w:val="modern"/>
    <w:pitch w:val="default"/>
    <w:sig w:usb0="00000000" w:usb1="00000000" w:usb2="00000000" w:usb3="00000000" w:csb0="00040000" w:csb1="00000000"/>
  </w:font>
  <w:font w:name="Times">
    <w:altName w:val="DejaVu Sans"/>
    <w:panose1 w:val="02020603050405020304"/>
    <w:charset w:val="00"/>
    <w:family w:val="roman"/>
    <w:pitch w:val="default"/>
    <w:sig w:usb0="00000000" w:usb1="00000000" w:usb2="00000009" w:usb3="00000000" w:csb0="000001FF" w:csb1="00000000"/>
  </w:font>
  <w:font w:name="CESI仿宋-GB2312">
    <w:altName w:val="微软雅黑"/>
    <w:charset w:val="86"/>
    <w:family w:val="auto"/>
    <w:pitch w:val="default"/>
    <w:sig w:usb0="800002AF" w:usb1="084F6CF8" w:usb2="00000010" w:usb3="00000000" w:csb0="0004000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BFEF99D9"/>
    <w:multiLevelType w:val="singleLevel"/>
    <w:tmpl w:val="BFEF99D9"/>
    <w:lvl w:ilvl="0">
      <w:start w:val="1"/>
      <w:numFmt w:val="chineseCounting"/>
      <w:suff w:val="nothing"/>
      <w:lvlText w:val="（%1）"/>
      <w:lvlJc w:val="left"/>
      <w:rPr>
        <w:rFonts w:hint="eastAsia"/>
      </w:rPr>
    </w:lvl>
  </w:abstractNum>
  <w:abstractNum w:abstractNumId="1" w15:restartNumberingAfterBreak="0">
    <w:nsid w:val="FEAEBE38"/>
    <w:multiLevelType w:val="singleLevel"/>
    <w:tmpl w:val="FEAEBE38"/>
    <w:lvl w:ilvl="0">
      <w:start w:val="1"/>
      <w:numFmt w:val="decimal"/>
      <w:suff w:val="nothing"/>
      <w:lvlText w:val="%1、"/>
      <w:lvlJc w:val="left"/>
    </w:lvl>
  </w:abstractNum>
  <w:abstractNum w:abstractNumId="2" w15:restartNumberingAfterBreak="0">
    <w:nsid w:val="FFE85098"/>
    <w:multiLevelType w:val="singleLevel"/>
    <w:tmpl w:val="FFE85098"/>
    <w:lvl w:ilvl="0">
      <w:start w:val="1"/>
      <w:numFmt w:val="decimal"/>
      <w:suff w:val="nothing"/>
      <w:lvlText w:val="（%1）"/>
      <w:lvlJc w:val="left"/>
    </w:lvl>
  </w:abstractNum>
  <w:abstractNum w:abstractNumId="3" w15:restartNumberingAfterBreak="0">
    <w:nsid w:val="63AF7EBF"/>
    <w:multiLevelType w:val="multilevel"/>
    <w:tmpl w:val="63AF7EBF"/>
    <w:lvl w:ilvl="0">
      <w:start w:val="1"/>
      <w:numFmt w:val="decimal"/>
      <w:pStyle w:val="a"/>
      <w:suff w:val="nothing"/>
      <w:lvlText w:val="表%1　"/>
      <w:lvlJc w:val="left"/>
      <w:pPr>
        <w:ind w:left="0" w:firstLine="0"/>
      </w:pPr>
      <w:rPr>
        <w:rFonts w:hint="eastAsia"/>
      </w:rPr>
    </w:lvl>
    <w:lvl w:ilvl="1">
      <w:start w:val="1"/>
      <w:numFmt w:val="decimal"/>
      <w:lvlText w:val="%1.%2"/>
      <w:lvlJc w:val="left"/>
      <w:pPr>
        <w:ind w:left="992" w:hanging="567"/>
      </w:pPr>
      <w:rPr>
        <w:rFonts w:hint="eastAsia"/>
      </w:rPr>
    </w:lvl>
    <w:lvl w:ilvl="2">
      <w:start w:val="1"/>
      <w:numFmt w:val="decimal"/>
      <w:lvlText w:val="%1.%2.%3"/>
      <w:lvlJc w:val="left"/>
      <w:pPr>
        <w:ind w:left="1418" w:hanging="567"/>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4" w15:restartNumberingAfterBreak="0">
    <w:nsid w:val="79341B64"/>
    <w:multiLevelType w:val="singleLevel"/>
    <w:tmpl w:val="79341B64"/>
    <w:lvl w:ilvl="0">
      <w:start w:val="1"/>
      <w:numFmt w:val="japaneseCounting"/>
      <w:lvlText w:val="%1、"/>
      <w:lvlJc w:val="left"/>
      <w:pPr>
        <w:tabs>
          <w:tab w:val="left" w:pos="630"/>
        </w:tabs>
        <w:ind w:left="630" w:hanging="630"/>
      </w:pPr>
      <w:rPr>
        <w:rFonts w:hint="eastAsia"/>
      </w:rPr>
    </w:lvl>
  </w:abstractNum>
  <w:num w:numId="1" w16cid:durableId="695155943">
    <w:abstractNumId w:val="3"/>
  </w:num>
  <w:num w:numId="2" w16cid:durableId="995961319">
    <w:abstractNumId w:val="4"/>
  </w:num>
  <w:num w:numId="3" w16cid:durableId="1118062100">
    <w:abstractNumId w:val="0"/>
  </w:num>
  <w:num w:numId="4" w16cid:durableId="1996059137">
    <w:abstractNumId w:val="1"/>
  </w:num>
  <w:num w:numId="5" w16cid:durableId="155585151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420"/>
  <w:drawingGridVerticalSpacing w:val="156"/>
  <w:noPunctuationKerning/>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707E5C20"/>
    <w:rsid w:val="9FAF90D7"/>
    <w:rsid w:val="A6BE6DEF"/>
    <w:rsid w:val="B71B7010"/>
    <w:rsid w:val="BA7B23C6"/>
    <w:rsid w:val="BAEE9010"/>
    <w:rsid w:val="BBDF5665"/>
    <w:rsid w:val="BDDDC866"/>
    <w:rsid w:val="BEEBF8E2"/>
    <w:rsid w:val="CD9FBE29"/>
    <w:rsid w:val="CEE6F56F"/>
    <w:rsid w:val="CF5BC27D"/>
    <w:rsid w:val="D5F649A9"/>
    <w:rsid w:val="DD7F8C1F"/>
    <w:rsid w:val="DE7F7B2D"/>
    <w:rsid w:val="DFCEDCC2"/>
    <w:rsid w:val="E6BB674B"/>
    <w:rsid w:val="E7F7C803"/>
    <w:rsid w:val="ECB27CD1"/>
    <w:rsid w:val="EDE3F4A3"/>
    <w:rsid w:val="EDFF1F2C"/>
    <w:rsid w:val="EF7F0270"/>
    <w:rsid w:val="EFED0D28"/>
    <w:rsid w:val="F17E27ED"/>
    <w:rsid w:val="F1B82DB5"/>
    <w:rsid w:val="F3B34EEB"/>
    <w:rsid w:val="F5AF30D2"/>
    <w:rsid w:val="F5BFC72D"/>
    <w:rsid w:val="F67BEB76"/>
    <w:rsid w:val="F6F511E5"/>
    <w:rsid w:val="F7F606EE"/>
    <w:rsid w:val="F7FBBBBB"/>
    <w:rsid w:val="F7FF5921"/>
    <w:rsid w:val="F7FF5A7F"/>
    <w:rsid w:val="F7FFB427"/>
    <w:rsid w:val="F8D94087"/>
    <w:rsid w:val="F9FFAABA"/>
    <w:rsid w:val="FBCFC23F"/>
    <w:rsid w:val="FBE6E25B"/>
    <w:rsid w:val="FDCBD22A"/>
    <w:rsid w:val="FDDF72C1"/>
    <w:rsid w:val="FE57A774"/>
    <w:rsid w:val="FE5F7E1E"/>
    <w:rsid w:val="FEF6DA0E"/>
    <w:rsid w:val="FEFB2C89"/>
    <w:rsid w:val="FEFE86BC"/>
    <w:rsid w:val="FEFFDC02"/>
    <w:rsid w:val="FF2DAE39"/>
    <w:rsid w:val="FF7F8268"/>
    <w:rsid w:val="FF7FB33D"/>
    <w:rsid w:val="FF89255F"/>
    <w:rsid w:val="FF9FBDD8"/>
    <w:rsid w:val="FFBD0591"/>
    <w:rsid w:val="FFDAD8B8"/>
    <w:rsid w:val="FFDC6668"/>
    <w:rsid w:val="FFFB9E42"/>
    <w:rsid w:val="FFFDAE2D"/>
    <w:rsid w:val="FFFE3BAD"/>
    <w:rsid w:val="FFFF6DDB"/>
    <w:rsid w:val="FFFFEB0E"/>
    <w:rsid w:val="00053E5F"/>
    <w:rsid w:val="000C5E7F"/>
    <w:rsid w:val="000E2F62"/>
    <w:rsid w:val="000F7E69"/>
    <w:rsid w:val="00175DDA"/>
    <w:rsid w:val="00195AA3"/>
    <w:rsid w:val="001B5C7E"/>
    <w:rsid w:val="00286272"/>
    <w:rsid w:val="00350E8A"/>
    <w:rsid w:val="003C3DC5"/>
    <w:rsid w:val="003E21BB"/>
    <w:rsid w:val="0047012F"/>
    <w:rsid w:val="004702AE"/>
    <w:rsid w:val="00476E0D"/>
    <w:rsid w:val="004E4BE4"/>
    <w:rsid w:val="00512BCC"/>
    <w:rsid w:val="005162D7"/>
    <w:rsid w:val="005263AD"/>
    <w:rsid w:val="00637AC2"/>
    <w:rsid w:val="00687CB3"/>
    <w:rsid w:val="006A7A7A"/>
    <w:rsid w:val="006C7373"/>
    <w:rsid w:val="007B5670"/>
    <w:rsid w:val="008056FA"/>
    <w:rsid w:val="00893DAC"/>
    <w:rsid w:val="00905C22"/>
    <w:rsid w:val="00907BB8"/>
    <w:rsid w:val="009461F9"/>
    <w:rsid w:val="0098441E"/>
    <w:rsid w:val="0099323B"/>
    <w:rsid w:val="009D1149"/>
    <w:rsid w:val="009F380E"/>
    <w:rsid w:val="00A128DA"/>
    <w:rsid w:val="00B36E2F"/>
    <w:rsid w:val="00B6457A"/>
    <w:rsid w:val="00B7453C"/>
    <w:rsid w:val="00BA7F52"/>
    <w:rsid w:val="00C049C1"/>
    <w:rsid w:val="00C12291"/>
    <w:rsid w:val="00C43E7F"/>
    <w:rsid w:val="00C76D6E"/>
    <w:rsid w:val="00CE1F44"/>
    <w:rsid w:val="00CE7610"/>
    <w:rsid w:val="00D23D26"/>
    <w:rsid w:val="00D245B0"/>
    <w:rsid w:val="00D26100"/>
    <w:rsid w:val="00D77390"/>
    <w:rsid w:val="00D80A2C"/>
    <w:rsid w:val="00DE53C4"/>
    <w:rsid w:val="00E05DE2"/>
    <w:rsid w:val="00EB44F1"/>
    <w:rsid w:val="00EC3CB5"/>
    <w:rsid w:val="00EC6BED"/>
    <w:rsid w:val="00ED0B32"/>
    <w:rsid w:val="00EE6F53"/>
    <w:rsid w:val="00EF2B91"/>
    <w:rsid w:val="00F16731"/>
    <w:rsid w:val="00F915F7"/>
    <w:rsid w:val="00FA57DB"/>
    <w:rsid w:val="00FC3A49"/>
    <w:rsid w:val="00FD420D"/>
    <w:rsid w:val="00FE4D73"/>
    <w:rsid w:val="11D1474A"/>
    <w:rsid w:val="1366238E"/>
    <w:rsid w:val="19EC507C"/>
    <w:rsid w:val="1CFFD51E"/>
    <w:rsid w:val="1DFCACF1"/>
    <w:rsid w:val="2AB021AF"/>
    <w:rsid w:val="2FDFC1B0"/>
    <w:rsid w:val="36EFA49F"/>
    <w:rsid w:val="3AFBAC8D"/>
    <w:rsid w:val="3CBA0719"/>
    <w:rsid w:val="3CFF8089"/>
    <w:rsid w:val="3E5F2EF2"/>
    <w:rsid w:val="3EFBD62C"/>
    <w:rsid w:val="3FEF0A77"/>
    <w:rsid w:val="3FFF96E5"/>
    <w:rsid w:val="42F71AD2"/>
    <w:rsid w:val="4A716BD1"/>
    <w:rsid w:val="4E6FD2FB"/>
    <w:rsid w:val="4FD7554C"/>
    <w:rsid w:val="514F3E5B"/>
    <w:rsid w:val="54BF3332"/>
    <w:rsid w:val="5A5AC238"/>
    <w:rsid w:val="5BFFF245"/>
    <w:rsid w:val="5C481799"/>
    <w:rsid w:val="5DAD5125"/>
    <w:rsid w:val="5DBDD741"/>
    <w:rsid w:val="5DFECF33"/>
    <w:rsid w:val="5EFB2575"/>
    <w:rsid w:val="5FDF89E6"/>
    <w:rsid w:val="5FFBB05E"/>
    <w:rsid w:val="620F1E56"/>
    <w:rsid w:val="6F7E5ABA"/>
    <w:rsid w:val="6FF522A0"/>
    <w:rsid w:val="6FF9706E"/>
    <w:rsid w:val="707E5C20"/>
    <w:rsid w:val="733BDF80"/>
    <w:rsid w:val="73FB9624"/>
    <w:rsid w:val="74DB2652"/>
    <w:rsid w:val="76CC0B30"/>
    <w:rsid w:val="7757C095"/>
    <w:rsid w:val="77DFBCF2"/>
    <w:rsid w:val="7BEE9234"/>
    <w:rsid w:val="7D758566"/>
    <w:rsid w:val="7DB797E2"/>
    <w:rsid w:val="7DFE9018"/>
    <w:rsid w:val="7E7EAED5"/>
    <w:rsid w:val="7E7F5425"/>
    <w:rsid w:val="7EDF7279"/>
    <w:rsid w:val="7EDF9E7A"/>
    <w:rsid w:val="7EF7E592"/>
    <w:rsid w:val="7EFE67D8"/>
    <w:rsid w:val="7FD69927"/>
    <w:rsid w:val="7FDFA3B0"/>
    <w:rsid w:val="7FEEB80F"/>
    <w:rsid w:val="7FF9D2E3"/>
    <w:rsid w:val="7FFDAA4D"/>
    <w:rsid w:val="7FFF214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461878"/>
  <w15:docId w15:val="{DC266BE8-549A-4590-B963-6B3282FA56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qFormat="1"/>
    <w:lsdException w:name="header" w:qFormat="1"/>
    <w:lsdException w:name="footer" w:qFormat="1"/>
    <w:lsdException w:name="caption" w:semiHidden="1" w:unhideWhenUsed="1" w:qFormat="1"/>
    <w:lsdException w:name="annotation reference" w:qFormat="1"/>
    <w:lsdException w:name="Title" w:qFormat="1"/>
    <w:lsdException w:name="Default Paragraph Font" w:semiHidden="1" w:uiPriority="1" w:unhideWhenUsed="1" w:qFormat="1"/>
    <w:lsdException w:name="Subtitle" w:qFormat="1"/>
    <w:lsdException w:name="Block Text" w:uiPriority="99" w:qFormat="1"/>
    <w:lsdException w:name="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0">
    <w:name w:val="Normal"/>
    <w:next w:val="a1"/>
    <w:qFormat/>
    <w:pPr>
      <w:widowControl w:val="0"/>
      <w:jc w:val="both"/>
    </w:pPr>
    <w:rPr>
      <w:kern w:val="2"/>
      <w:sz w:val="21"/>
      <w:szCs w:val="24"/>
    </w:rPr>
  </w:style>
  <w:style w:type="paragraph" w:styleId="1">
    <w:name w:val="heading 1"/>
    <w:basedOn w:val="a0"/>
    <w:next w:val="a0"/>
    <w:qFormat/>
    <w:pPr>
      <w:spacing w:beforeAutospacing="1" w:afterAutospacing="1"/>
      <w:jc w:val="left"/>
      <w:outlineLvl w:val="0"/>
    </w:pPr>
    <w:rPr>
      <w:rFonts w:ascii="宋体" w:hAnsi="宋体" w:hint="eastAsia"/>
      <w:b/>
      <w:kern w:val="44"/>
      <w:sz w:val="48"/>
      <w:szCs w:val="48"/>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1">
    <w:name w:val="Block Text"/>
    <w:basedOn w:val="a0"/>
    <w:uiPriority w:val="99"/>
    <w:qFormat/>
    <w:pPr>
      <w:spacing w:after="120"/>
      <w:ind w:leftChars="700" w:left="1440" w:rightChars="700" w:right="1440"/>
    </w:pPr>
  </w:style>
  <w:style w:type="paragraph" w:styleId="a5">
    <w:name w:val="annotation text"/>
    <w:basedOn w:val="a0"/>
    <w:link w:val="a6"/>
    <w:qFormat/>
    <w:pPr>
      <w:jc w:val="left"/>
    </w:pPr>
  </w:style>
  <w:style w:type="paragraph" w:styleId="a7">
    <w:name w:val="Balloon Text"/>
    <w:basedOn w:val="a0"/>
    <w:link w:val="a8"/>
    <w:qFormat/>
    <w:rPr>
      <w:sz w:val="18"/>
      <w:szCs w:val="18"/>
    </w:rPr>
  </w:style>
  <w:style w:type="paragraph" w:styleId="a9">
    <w:name w:val="footer"/>
    <w:basedOn w:val="a0"/>
    <w:qFormat/>
    <w:pPr>
      <w:tabs>
        <w:tab w:val="center" w:pos="4153"/>
        <w:tab w:val="right" w:pos="8306"/>
      </w:tabs>
      <w:snapToGrid w:val="0"/>
      <w:jc w:val="left"/>
    </w:pPr>
    <w:rPr>
      <w:sz w:val="18"/>
    </w:rPr>
  </w:style>
  <w:style w:type="paragraph" w:styleId="aa">
    <w:name w:val="header"/>
    <w:basedOn w:val="a0"/>
    <w:link w:val="ab"/>
    <w:qFormat/>
    <w:pPr>
      <w:pBdr>
        <w:bottom w:val="single" w:sz="6" w:space="1" w:color="auto"/>
      </w:pBdr>
      <w:tabs>
        <w:tab w:val="center" w:pos="4153"/>
        <w:tab w:val="right" w:pos="8306"/>
      </w:tabs>
      <w:snapToGrid w:val="0"/>
      <w:jc w:val="center"/>
    </w:pPr>
    <w:rPr>
      <w:sz w:val="18"/>
      <w:szCs w:val="18"/>
    </w:rPr>
  </w:style>
  <w:style w:type="paragraph" w:styleId="ac">
    <w:name w:val="annotation subject"/>
    <w:basedOn w:val="a5"/>
    <w:next w:val="a5"/>
    <w:link w:val="ad"/>
    <w:qFormat/>
    <w:rPr>
      <w:b/>
      <w:bCs/>
    </w:rPr>
  </w:style>
  <w:style w:type="character" w:styleId="ae">
    <w:name w:val="Hyperlink"/>
    <w:basedOn w:val="a2"/>
    <w:qFormat/>
    <w:rPr>
      <w:color w:val="0000FF"/>
      <w:u w:val="single"/>
    </w:rPr>
  </w:style>
  <w:style w:type="character" w:styleId="af">
    <w:name w:val="annotation reference"/>
    <w:basedOn w:val="a2"/>
    <w:qFormat/>
    <w:rPr>
      <w:sz w:val="21"/>
      <w:szCs w:val="21"/>
    </w:rPr>
  </w:style>
  <w:style w:type="paragraph" w:customStyle="1" w:styleId="BodyText21">
    <w:name w:val="Body Text 21"/>
    <w:basedOn w:val="a0"/>
    <w:qFormat/>
    <w:pPr>
      <w:snapToGrid w:val="0"/>
      <w:spacing w:line="540" w:lineRule="exact"/>
    </w:pPr>
    <w:rPr>
      <w:rFonts w:eastAsia="方正仿宋_GBK"/>
      <w:color w:val="000000"/>
    </w:rPr>
  </w:style>
  <w:style w:type="character" w:customStyle="1" w:styleId="ab">
    <w:name w:val="页眉 字符"/>
    <w:basedOn w:val="a2"/>
    <w:link w:val="aa"/>
    <w:qFormat/>
    <w:rPr>
      <w:kern w:val="2"/>
      <w:sz w:val="18"/>
      <w:szCs w:val="18"/>
    </w:rPr>
  </w:style>
  <w:style w:type="character" w:customStyle="1" w:styleId="a6">
    <w:name w:val="批注文字 字符"/>
    <w:basedOn w:val="a2"/>
    <w:link w:val="a5"/>
    <w:qFormat/>
    <w:rPr>
      <w:kern w:val="2"/>
      <w:sz w:val="21"/>
      <w:szCs w:val="24"/>
    </w:rPr>
  </w:style>
  <w:style w:type="character" w:customStyle="1" w:styleId="ad">
    <w:name w:val="批注主题 字符"/>
    <w:basedOn w:val="a6"/>
    <w:link w:val="ac"/>
    <w:qFormat/>
    <w:rPr>
      <w:b/>
      <w:bCs/>
      <w:kern w:val="2"/>
      <w:sz w:val="21"/>
      <w:szCs w:val="24"/>
    </w:rPr>
  </w:style>
  <w:style w:type="character" w:customStyle="1" w:styleId="a8">
    <w:name w:val="批注框文本 字符"/>
    <w:basedOn w:val="a2"/>
    <w:link w:val="a7"/>
    <w:qFormat/>
    <w:rPr>
      <w:kern w:val="2"/>
      <w:sz w:val="18"/>
      <w:szCs w:val="18"/>
    </w:rPr>
  </w:style>
  <w:style w:type="paragraph" w:customStyle="1" w:styleId="af0">
    <w:name w:val="段"/>
    <w:qFormat/>
    <w:pPr>
      <w:tabs>
        <w:tab w:val="center" w:pos="4201"/>
        <w:tab w:val="right" w:leader="dot" w:pos="9298"/>
      </w:tabs>
      <w:autoSpaceDE w:val="0"/>
      <w:autoSpaceDN w:val="0"/>
      <w:ind w:firstLineChars="200" w:firstLine="420"/>
      <w:jc w:val="both"/>
    </w:pPr>
    <w:rPr>
      <w:rFonts w:ascii="宋体"/>
      <w:sz w:val="21"/>
    </w:rPr>
  </w:style>
  <w:style w:type="paragraph" w:customStyle="1" w:styleId="10">
    <w:name w:val="修订1"/>
    <w:hidden/>
    <w:uiPriority w:val="99"/>
    <w:semiHidden/>
    <w:qFormat/>
    <w:rPr>
      <w:kern w:val="2"/>
      <w:sz w:val="21"/>
      <w:szCs w:val="24"/>
    </w:rPr>
  </w:style>
  <w:style w:type="paragraph" w:customStyle="1" w:styleId="2">
    <w:name w:val="修订2"/>
    <w:hidden/>
    <w:uiPriority w:val="99"/>
    <w:semiHidden/>
    <w:qFormat/>
    <w:rPr>
      <w:kern w:val="2"/>
      <w:sz w:val="21"/>
      <w:szCs w:val="24"/>
    </w:rPr>
  </w:style>
  <w:style w:type="paragraph" w:customStyle="1" w:styleId="a">
    <w:name w:val="正文表标题"/>
    <w:next w:val="af0"/>
    <w:qFormat/>
    <w:pPr>
      <w:numPr>
        <w:numId w:val="1"/>
      </w:numPr>
      <w:spacing w:beforeLines="50" w:afterLines="50"/>
      <w:jc w:val="center"/>
    </w:pPr>
    <w:rPr>
      <w:rFonts w:ascii="黑体" w:eastAsia="黑体"/>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11</Pages>
  <Words>889</Words>
  <Characters>5071</Characters>
  <Application>Microsoft Office Word</Application>
  <DocSecurity>0</DocSecurity>
  <Lines>42</Lines>
  <Paragraphs>11</Paragraphs>
  <ScaleCrop>false</ScaleCrop>
  <Company/>
  <LinksUpToDate>false</LinksUpToDate>
  <CharactersWithSpaces>5949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《XXXX》北京市地方标准编制说明</dc:title>
  <dc:creator>windowns</dc:creator>
  <cp:lastModifiedBy>风的传说</cp:lastModifiedBy>
  <cp:revision>2</cp:revision>
  <dcterms:created xsi:type="dcterms:W3CDTF">2023-07-18T02:29:00Z</dcterms:created>
  <dcterms:modified xsi:type="dcterms:W3CDTF">2023-07-18T02:29:00Z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2052-11.8.2.10125</vt:lpwstr>
  </property>
</Properties>
</file>