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mbria" w:hAnsi="Cambria"/>
          <w:b/>
          <w:bCs/>
          <w:sz w:val="32"/>
          <w:szCs w:val="32"/>
        </w:rPr>
      </w:pPr>
      <w:bookmarkStart w:id="0" w:name="_GoBack"/>
      <w:bookmarkEnd w:id="0"/>
      <w:r>
        <w:rPr>
          <w:rFonts w:hint="default" w:ascii="Cambria" w:hAnsi="Cambria"/>
          <w:b/>
          <w:bCs/>
          <w:sz w:val="32"/>
          <w:szCs w:val="32"/>
        </w:rPr>
        <w:t>北京市农机领域安全生产隐患目录</w:t>
      </w:r>
    </w:p>
    <w:tbl>
      <w:tblPr>
        <w:tblStyle w:val="8"/>
        <w:tblW w:w="14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520"/>
        <w:gridCol w:w="1666"/>
        <w:gridCol w:w="1814"/>
        <w:gridCol w:w="2680"/>
        <w:gridCol w:w="2431"/>
        <w:gridCol w:w="296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3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  <w:t>隐患分类</w:t>
            </w: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  <w:t>隐患内容</w:t>
            </w:r>
          </w:p>
        </w:tc>
        <w:tc>
          <w:tcPr>
            <w:tcW w:w="2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  <w:t>排查标准</w:t>
            </w:r>
          </w:p>
        </w:tc>
        <w:tc>
          <w:tcPr>
            <w:tcW w:w="2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  <w:t>适用范围</w:t>
            </w:r>
          </w:p>
        </w:tc>
        <w:tc>
          <w:tcPr>
            <w:tcW w:w="29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  <w:t>依据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  <w:t>一类隐患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val="en-US" w:eastAsia="zh-CN"/>
              </w:rPr>
              <w:t>二类隐患</w:t>
            </w: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0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62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基础资料类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机构及人员配备类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未设置农机安全管理人员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专职或兼职农机安全管理人员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，对具体职责进行明确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《北京市农业机械安全监督管理规定》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第十二条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基础资料类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责任制类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农机安全管理人员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未有效履职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农机安全管理人员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有明确的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职责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，有相关职责的履行记录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《北京市农业机械安全监督管理规定》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第十三条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基础资料类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制度类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安全规章制度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不健全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制定或完善以下安全管理制度：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农业机械安全使用操作规程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农机安全生产教育和培训制度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农机安全技术状况检查制度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农机事故隐患排查治理制度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《北京市农业机械安全监督管理规定》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第十三条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基础资料类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制度类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未落实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安全规章制度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规范落实制定的安全规章制度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《北京市农业机械安全监督管理规定》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第十三条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基础资料类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相关方管理类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未查验雇用驾驶员证件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雇用拖拉机和联合收割机驾驶员持证情况了解掌握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《北京市农业机械安全监督管理规定》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第十七条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基础资料类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相关方管理类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雇用无证驾驶操作人员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所雇用拖拉机、联合收割机驾驶操作人员取得合法有效的驾驶操作证件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《北京市农业机械安全监督管理规定》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第十七条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拖拉机和联合收割机无号牌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投入使用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highlight w:val="none"/>
                <w:lang w:eastAsia="zh-CN"/>
              </w:rPr>
              <w:t>拖拉机和联合收割机注册登记并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highlight w:val="none"/>
              </w:rPr>
              <w:t>取得合法有效的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highlight w:val="none"/>
                <w:lang w:eastAsia="zh-CN"/>
              </w:rPr>
              <w:t>牌证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《农业机械安全监督管理条例》第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二十一条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《农机安全生产重大事故隐患判定标准（试行）》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★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未经检验投入使用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highlight w:val="none"/>
                <w:lang w:eastAsia="zh-CN"/>
              </w:rPr>
              <w:t>拖拉机和联合收割机经安全技术检验合格并在检验有效期内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《农业机械安全监督管理条例》第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二十三条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《农机安全生产重大事故隐患判定标准（试行）》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★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灯光不齐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灯具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齐全有效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《农业机械安全监督管理条例》第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二十三条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《农机安全生产重大事故隐患判定标准（试行）》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★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拼装、改装导致不符合运行安全技术条件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不得利用报废的零部件非法组装或擅自改变机械总成部件、外扩尺寸、承载限值等，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lang w:val="en-US" w:eastAsia="zh-CN"/>
              </w:rPr>
              <w:t>导致不符合运行安全技术条件中的强制性条款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《北京市农业机械安全监督管理规定》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第十九条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《农机安全生产重大事故隐患判定标准（试行）》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★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安全防护装置缺失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发动机防护罩、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动力输出轴安全防护套、消声器和排气管隔热防护装置、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皮带防护罩、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安全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、外露旋转部件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安全防护装置齐全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《北京市农业机械安全监督管理规定》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第十九条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《农机安全生产重大事故隐患判定标准（试行）》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★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安全标志缺失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重点部位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（禁止乘坐位置、悬挂装置、动力输出轴、水箱盖处等）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安全标志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齐全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《农机安全生产重大事故隐患判定标准（试行）》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刹车与转向系统失灵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刹车系统符合运行安全技术条件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转向系统符合运行安全技术条件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《农机安全生产重大事故隐患判定标准（试行）》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未变更登记投入使用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发动机号、底盘号／机架号、挂车架号码、颜色等与行驶证登记一致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《农业机械安全监督管理条例》第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二十一条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拖拉机和联合收割机未悬挂号牌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按规定悬挂号牌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《农业机械安全监督管理条例》第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二十三条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《北京市农业机械安全监督管理规定》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第十九条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驾驶室视野装置缺失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后视镜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驾驶室挡风玻璃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完整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eastAsia="zh-CN"/>
              </w:rPr>
              <w:t>《农业机械运行安全技术条件第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eastAsia="zh-CN"/>
              </w:rPr>
              <w:t>部分：拖拉机》（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GB16151.1-2008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eastAsia="zh-CN"/>
              </w:rPr>
              <w:t>）第十二条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电动卷帘机电线破损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电线外皮或者绝缘层无老化、剥落、破损等现象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  <w:t>北京市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eastAsia="zh-CN"/>
              </w:rPr>
              <w:t>电动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  <w:t>卷帘机安全操作规程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  <w:t>试行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eastAsia="zh-CN"/>
              </w:rPr>
              <w:t>）第三条第一款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电动卷帘机电线布线不正确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电源线地埋或高架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  <w:t>北京市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eastAsia="zh-CN"/>
              </w:rPr>
              <w:t>电动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  <w:t>卷帘机安全操作规程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  <w:t>试行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eastAsia="zh-CN"/>
              </w:rPr>
              <w:t>）第三条第一款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工艺及生产设备设施类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电动卷帘机漏电防护不到位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安装漏电保护装置，并定期操作断电一次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CFC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CFC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  <w:t>北京市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eastAsia="zh-CN"/>
              </w:rPr>
              <w:t>电动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  <w:t>卷帘机安全操作规程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</w:rPr>
              <w:t>试行</w:t>
            </w:r>
            <w:r>
              <w:rPr>
                <w:rFonts w:hint="eastAsia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eastAsia="zh-CN"/>
              </w:rPr>
              <w:t>）第三条第一款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设备设施及物料类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辅助系统设备设施类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灭火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缺失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配备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合格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有效灭火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器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Y 26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 xml:space="preserve">-2014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《拖拉机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 xml:space="preserve"> 安全操作规程》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第7.14条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人员类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资格资质类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拖拉机和联合收割机驾驶操作人员无证驾驶操作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持有合法有效的驾驶操作证件驾驶操作拖拉机、联合收割机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《农业机械安全监督管理条例》第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二十二条、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二十三条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《农机安全生产重大事故隐患判定标准（试行）》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人员类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资格资质类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拖拉机和联合收割机驾驶操作人员准驾不符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驾驶操作证件准驾机型与操作的农业机械机型相符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《农业机械安全监督管理条例》第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二十三条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人员类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操作行为类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酒后、服用违禁药品后驾驶操作农业机械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不得饮酒后或服用国家管制的精神类药品、麻醉药品后操作农业机械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《农业机械安全监督管理条例》第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二十三条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《北京市农业机械安全监督管理规定》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第二十条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《农机安全生产重大事故隐患判定标准（试行）》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人员类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操作行为类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违法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载人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驾驶室、农具搭载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乘坐人员不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准乘人数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《农业机械安全监督管理条例》第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二十三条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《北京市农业机械安全监督管理规定》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第二十条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《农机安全生产重大事故隐患判定标准（试行）》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人员类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操作行为类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拖拉机和联合收割机存在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超载、超限、超速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拖拉机和联合收割机按照规定行驶，不得存在超载、超限、超速的行为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拖拉机和联合收割机驾驶操作人员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《农机安全生产重大事故隐患判定标准（试行）》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人员类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操作行为类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农业机械未熄火进行检修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检修机具应停机熄火，并在完全停止运转后方可进行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Y 26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 xml:space="preserve">-2014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《拖拉机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 xml:space="preserve"> 安全操作规程》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第8.1条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Y 26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 xml:space="preserve">-2014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《谷物联合收割机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安全操作规程》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第8.1条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instrText xml:space="preserve"> HYPERLINK "http://www.jianbiaoku.com/webarbs/book/86044/2508376.shtml" \t "http://www.jianbiaoku.com/webarbs/book/86044/_self" </w:instrTex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NY 2800-2015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《微耕机安全操作规程》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7.1条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人员类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操作行为类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农业机械停止作业未熄火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highlight w:val="none"/>
                <w:lang w:eastAsia="zh-CN"/>
              </w:rPr>
              <w:t>停止作业应熄火并切断动力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Y 26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 xml:space="preserve">-2014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《拖拉机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 xml:space="preserve"> 安全操作规程》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第7.8条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Y 26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 xml:space="preserve">-2014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《谷物联合收割机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安全操作规程》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第7.8条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人员类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操作行为类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其他不符合安全操作规程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的行为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驾驶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操作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不得存在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赤足、穿拖鞋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吸烟、饮食、接打电话等妨碍安全驾驶操作的行为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Y 26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 xml:space="preserve">-2014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《拖拉机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 xml:space="preserve"> 安全操作规程》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场所环境类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标志及标识类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未防止无关人员进入作业区域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采取指定专门人员维护作业秩序、设置警示标志等措施，防止无关人员进入作业区域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Y 26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-2014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《拖拉机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安全操作规程》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7.6条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NY 2610-2014《谷物联合收割机 安全操作规程》第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7.4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条、第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7.5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条、第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7.6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条、第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7.7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场所环境类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作业环境类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勘査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作业场地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勘査作业场地、清除障碍，在障碍、危险处设置明显标志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使用农业机械的农业生产经营组织、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所有人、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" w:eastAsia="zh-CN"/>
              </w:rPr>
              <w:t>农业机械驾驶操作人员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Y 26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-2014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《拖拉机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安全操作规程》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7.6条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NY 2610-2014 《谷物联合收割机 安全操作规程》第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7.4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条、第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7.5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条、第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7.6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条、第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7.7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rPr>
          <w:rFonts w:hint="eastAsia" w:ascii="CESI楷体-GB2312" w:hAnsi="CESI楷体-GB2312" w:eastAsia="CESI楷体-GB2312" w:cs="CESI楷体-GB2312"/>
          <w:sz w:val="28"/>
          <w:szCs w:val="24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28"/>
          <w:szCs w:val="24"/>
          <w:lang w:val="en-US" w:eastAsia="zh-CN"/>
        </w:rPr>
        <w:t>注：1.备注栏中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★</w:t>
      </w:r>
      <w:r>
        <w:rPr>
          <w:rFonts w:hint="eastAsia" w:ascii="CESI楷体-GB2312" w:hAnsi="CESI楷体-GB2312" w:eastAsia="CESI楷体-GB2312" w:cs="CESI楷体-GB2312"/>
          <w:sz w:val="28"/>
          <w:szCs w:val="24"/>
          <w:lang w:val="en-US" w:eastAsia="zh-CN"/>
        </w:rPr>
        <w:t>标为农机安全生产重大事故隐患；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jc w:val="left"/>
        <w:rPr>
          <w:rFonts w:hint="eastAsia" w:ascii="CESI楷体-GB2312" w:hAnsi="CESI楷体-GB2312" w:eastAsia="CESI楷体-GB2312" w:cs="CESI楷体-GB2312"/>
          <w:sz w:val="28"/>
          <w:szCs w:val="24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28"/>
          <w:szCs w:val="24"/>
          <w:lang w:val="en-US" w:eastAsia="zh-CN"/>
        </w:rPr>
        <w:t>2.如遇法律、法规、规章和标准发生变化，按照新规定实施。</w:t>
      </w:r>
    </w:p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531" w:right="1644" w:bottom="1332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F2181"/>
    <w:multiLevelType w:val="singleLevel"/>
    <w:tmpl w:val="FE7F218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67A55824"/>
    <w:rsid w:val="67A5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 Char Char Char1 Char Char Char Char Char Char Char Char Char1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黑体" w:cs="Arial"/>
      <w:b/>
      <w:kern w:val="3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2024-03-05T09:14:00Z</dcterms:created>
  <dc:creator>娄高华</dc:creator>
  <cp:lastModifiedBy>娄高华</cp:lastModifiedBy>
  <dcterms:modified xsi:type="dcterms:W3CDTF">2024-03-05T09:14:20Z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FEB6BC669EE843A1A2D4B08A8E29780A_11</vt:lpwstr>
  </property>
</Properties>
</file>